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S.B.</w:t>
      </w:r>
      <w:r xml:space="preserve">
        <w:t> </w:t>
      </w:r>
      <w:r>
        <w:t xml:space="preserve">No.</w:t>
      </w:r>
      <w:r xml:space="preserve">
        <w:t> </w:t>
      </w:r>
      <w:r>
        <w:t xml:space="preserve">927</w:t>
      </w:r>
    </w:p>
    <w:p w:rsidR="003F3435" w:rsidRDefault="0032493E">
      <w:pPr>
        <w:ind w:firstLine="720"/>
        <w:jc w:val="both"/>
      </w:pPr>
      <w:r>
        <w:t xml:space="preserve">(McQueeney)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Navy and Marine Corps Achievement Medal specialty license plates.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504.315, Transportation Code, is amended by adding Subsection (s) to read as follows:</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The department shall issue specialty license plates for recipients of the Navy and Marine Corps Achievement Medal.  License plates issued under this subsection must include the Navy and Marine Corps Achievement Medal emblem and must include the words "Navy and Marine Corps Achievement Medal" at the bottom of each plate.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