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963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allowing Medicaid managed care organizations to engage in marketing about the availability of certain private health benefit plan coverage.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540.0055, Government Code, as effective April 1, 2025, is amended by adding Subsections (c) and (d)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marketing guidelines the commission establishes under this section may not prohibit a Medicaid managed care organization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informing an individual, including a current or former recipient, about the availability of qualified health plans offered through an exchange, as the terms "exchange"</w:t>
      </w:r>
      <w:r>
        <w:rPr>
          <w:u w:val="single"/>
        </w:rPr>
        <w:t xml:space="preserve"> </w:t>
      </w:r>
      <w:r>
        <w:rPr>
          <w:u w:val="single"/>
        </w:rPr>
        <w:t xml:space="preserve">and "qualified health plan"</w:t>
      </w:r>
      <w:r>
        <w:rPr>
          <w:u w:val="single"/>
        </w:rPr>
        <w:t xml:space="preserve"> </w:t>
      </w:r>
      <w:r>
        <w:rPr>
          <w:u w:val="single"/>
        </w:rPr>
        <w:t xml:space="preserve">are defined by 45 C.F.R. Section 155.20;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advertising a Medicare Advantage plan or related benefit offered under Part C of Title XVIII of the Social Security Act (42 U.S.C. Section 1395w-21 et seq.) at a community enrollment or other event.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marketing guidelines the commission establishes under this section must require that a Medicaid managed care organization that informs an individual about the availability of qualified health plans offered through an exchange, as the terms "exchange" and "qualified health plan" are defined by 45 C.F.R. Section 155.20, also inform the individual about the potential deductibles, copayments, and other cost-sharing requirements under a qualified health plan.  A Medicaid managed care organization informing an individual about the availability of qualified health plans offered through the exchange or an affiliate of the organization may not offer the individual material or financial gain as an actual or implied incentive for enrolling in a qualified health plan.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963 passed the Senate on April</w:t>
      </w:r>
      <w:r xml:space="preserve">
        <w:t> </w:t>
      </w:r>
      <w:r>
        <w:t xml:space="preserve">10,</w:t>
      </w:r>
      <w:r xml:space="preserve">
        <w:t> </w:t>
      </w:r>
      <w:r>
        <w:t xml:space="preserve">2025, by the following vote:  Yeas</w:t>
      </w:r>
      <w:r xml:space="preserve">
        <w:t> </w:t>
      </w:r>
      <w:r>
        <w:t xml:space="preserve">30, Nays</w:t>
      </w:r>
      <w:r xml:space="preserve">
        <w:t> </w:t>
      </w:r>
      <w:r>
        <w:t xml:space="preserve">0; and that the Senate concurred in House amendment on May</w:t>
      </w:r>
      <w:r xml:space="preserve">
        <w:t> </w:t>
      </w:r>
      <w:r>
        <w:t xml:space="preserve">21,</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963 passed the House, with amendment, on April</w:t>
      </w:r>
      <w:r xml:space="preserve">
        <w:t> </w:t>
      </w:r>
      <w:r>
        <w:t xml:space="preserve">29,</w:t>
      </w:r>
      <w:r xml:space="preserve">
        <w:t> </w:t>
      </w:r>
      <w:r>
        <w:t xml:space="preserve">2025, by the following vote:  Yeas</w:t>
      </w:r>
      <w:r xml:space="preserve">
        <w:t> </w:t>
      </w:r>
      <w:r>
        <w:t xml:space="preserve">119, Nays</w:t>
      </w:r>
      <w:r xml:space="preserve">
        <w:t> </w:t>
      </w:r>
      <w:r>
        <w:t xml:space="preserve">27,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