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S.B.</w:t>
      </w:r>
      <w:r xml:space="preserve">
        <w:t> </w:t>
      </w:r>
      <w:r>
        <w:t xml:space="preserve">No.</w:t>
      </w:r>
      <w:r xml:space="preserve">
        <w:t> </w:t>
      </w:r>
      <w:r>
        <w:t xml:space="preserve">963</w:t>
      </w:r>
    </w:p>
    <w:p w:rsidR="003F3435" w:rsidRDefault="0032493E">
      <w:pPr>
        <w:ind w:firstLine="720"/>
        <w:jc w:val="both"/>
      </w:pPr>
      <w:r>
        <w:t xml:space="preserve">(Manuel)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engage in marketing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informing an individual, including a current or former recipient, about the availability of qualified health plans offered through an exchange, as the terms "exchange"</w:t>
      </w:r>
      <w:r>
        <w:rPr>
          <w:u w:val="single"/>
        </w:rPr>
        <w:t xml:space="preserve"> </w:t>
      </w:r>
      <w:r>
        <w:rPr>
          <w:u w:val="single"/>
        </w:rPr>
        <w:t xml:space="preserve">and "qualified health plan"</w:t>
      </w:r>
      <w:r>
        <w:rPr>
          <w:u w:val="single"/>
        </w:rPr>
        <w:t xml:space="preserve"> </w:t>
      </w:r>
      <w:r>
        <w:rPr>
          <w:u w:val="single"/>
        </w:rPr>
        <w:t xml:space="preserve">are defined by 45 C.F.R. Section 155.20;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advertising a Medicare Advantage plan or related benefit offered under Part C of Title XVIII of the Social Security Act (42 U.S.C. Section 1395w-21 et seq.) at a community enrollment or other event.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