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Sparks, et al.</w:t>
      </w:r>
      <w:r xml:space="preserve">
        <w:tab wTab="150" tlc="none" cTlc="0"/>
      </w:r>
      <w:r>
        <w:t xml:space="preserve">S.B.</w:t>
      </w:r>
      <w:r xml:space="preserve">
        <w:t> </w:t>
      </w:r>
      <w:r>
        <w:t xml:space="preserve">No.</w:t>
      </w:r>
      <w:r xml:space="preserve">
        <w:t> </w:t>
      </w:r>
      <w:r>
        <w:t xml:space="preserve">971</w:t>
      </w:r>
    </w:p>
    <w:p w:rsidR="003F3435" w:rsidRDefault="0032493E">
      <w:pPr>
        <w:ind w:firstLine="720"/>
        <w:jc w:val="both"/>
      </w:pPr>
      <w:r>
        <w:t xml:space="preserve">(Gerdes)</w:t>
      </w:r>
    </w:p>
    <w:p w:rsidR="003F3435" w:rsidRDefault="003F3435"/>
    <w:p w:rsidR="003F3435" w:rsidRDefault="0032493E">
      <w:pPr>
        <w:spacing w:before="240"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definition of a rural political subdivision for purposes of the Texas Water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15.001(14), Water Code, as added by Chapter 1064 (S.B. 469), Acts of the 88th Legislature, Regular Session, 2023, is repealed.</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  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971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