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1008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437.004(a), (c),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(c)</w:t>
      </w:r>
      <w:r xml:space="preserve">
        <w:t> </w:t>
      </w:r>
      <w:r xml:space="preserve">
        <w:t> </w:t>
      </w:r>
      <w:r>
        <w:t xml:space="preserve">If the district does not have an administrative board, the governing body of each member of the district must adopt the order. </w:t>
      </w:r>
      <w:r>
        <w:t xml:space="preserve"> </w:t>
      </w:r>
      <w:r>
        <w:rPr>
          <w:u w:val="single"/>
        </w:rPr>
        <w:t xml:space="preserve">Subject to Section 437.009(b), the</w:t>
      </w:r>
      <w:r>
        <w:t xml:space="preserve"> [</w:t>
      </w:r>
      <w:r>
        <w:rPr>
          <w:strike/>
        </w:rPr>
        <w:t xml:space="preserve">The</w:t>
      </w:r>
      <w:r>
        <w:t xml:space="preserve">] order is effective throughout the public health district on the 30th day after the first date on which the governing bodies of all members have adopted the order.</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mobile food units, and roadside food vendors</w:t>
      </w:r>
      <w:r>
        <w:rPr>
          <w:u w:val="single"/>
        </w:rPr>
        <w:t xml:space="preserve">, to the extent those ordinances or that system does not conflict with a provision of state law</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w:t>
      </w:r>
      <w:r>
        <w:rPr>
          <w:u w:val="single"/>
        </w:rPr>
        <w:t xml:space="preserve">if the premises is a food service establishment, retail food store, mobile food unit, roadside food vendor, or temporary food service establishment that has already paid a fee to operate to the department or to any county, municipality, or public health district</w:t>
      </w:r>
      <w:r>
        <w:t xml:space="preserve"> </w:t>
      </w:r>
      <w:r>
        <w:t xml:space="preserve">[</w:t>
      </w:r>
      <w:r>
        <w:rPr>
          <w:strike/>
        </w:rPr>
        <w:t xml:space="preserve">for issuance of an alcoholic beverage permit or license for the premises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 not later than the 60th day before the date the fee schedule goes into effect.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437.029, and 437.030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(a) </w:t>
      </w:r>
      <w:r>
        <w:rPr>
          <w:u w:val="single"/>
        </w:rPr>
        <w:t xml:space="preserve"> </w:t>
      </w:r>
      <w:r>
        <w:rPr>
          <w:u w:val="single"/>
        </w:rPr>
        <w:t xml:space="preserve">Notwithstanding any other law and except as provided by Subsections (c) and (d), a county, municipality, or public health district, including an authorized agent, employee, or department, may not charge a food service establishment, retail food store, mobile food unit, roadside food vendor, or temporary food service establishment or an employee of any of those entities a fee, including any processing fees or added costs, that exceeds the maximum fee a food service establishment, retail food store, mobile food unit, roadside food vendor, temporary food service establishment, or employee would pay to the department if the entity or employee were located within the department's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the maximum fee a county, municipality, or public health district may charge annually may not exceed the maximum fee that would be charged by the department biennially.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including an authorized agent, employee, or department, may calculate and assess fees in accordance with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an annual or biennial basis;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 risk-based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municipality, or public health district, including an authorized agent, employee, or department, may assess a reinspection fee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reinspection is necessary to cure a violation that presents a direct and significant risk to public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reinspection fee does not exceed the lesser of the cost of an initial inspection or $200;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one reinspection fee is charged within 60 days of the previous inspection, unless the entity on which the fee is imposed failed to make reasonable efforts to correct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municipality, or public health district may charge a food service establishment, retail food store, mobile food unit, roadside food vendor, or temporary food service establishment up to 120 percent of the total fees authorized under Subsection (a) if the county, municipality, or public health district determines that the increased fee is necessary to protect public safety and maintain adequate food safety staffing levels in the county, municipality, or district. </w:t>
      </w:r>
      <w:r>
        <w:rPr>
          <w:u w:val="single"/>
        </w:rPr>
        <w:t xml:space="preserve"> </w:t>
      </w:r>
      <w:r>
        <w:rPr>
          <w:u w:val="single"/>
        </w:rPr>
        <w:t xml:space="preserve">Before imposing the increased fees under this subsection, a county, municipality, or public health district shall hold at least one annual public meeting or hearing to demonstrate compliance with this subsection. </w:t>
      </w:r>
      <w:r>
        <w:rPr>
          <w:u w:val="single"/>
        </w:rPr>
        <w:t xml:space="preserve"> </w:t>
      </w:r>
      <w:r>
        <w:rPr>
          <w:u w:val="single"/>
        </w:rPr>
        <w:t xml:space="preserve">This subsection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2.5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more than 2 million within which are located two municipalities, each of which has a population of at least 350,000;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with a population of 950,000 or more;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health district that regulates a county or municipality described by Subdivision (1), (2), or (3).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county, municipality, or public health district, including an authorized agent, employee, or department, from charging a fee that is necessary for the county, municipality, or public health district to comply with an active, legally binding federal consent decree, enforcement order, or administrative agreement mandating food service compliance inspections. Before imposing a fee under this subsection, a county, municipality, or public health district shall hold at least one annual public meeting or hearing to demonstrate that the fee is limited to the amount necessary to comply with a decree, order, or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including an authorized agent, employee, or department, may not require a food service establishment to obtain a sound regulation permit, charge a sound regulation fee to an establishment, or otherwise prohibit sound-related activity at an establishment if the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delivery of supplies or other items, provided that if the delivery occurs between 10 p.m. and 5 a.m., then: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lasts for one hour or less;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delivery is only for food, nonalcoholic beverages, food service supplies, or 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delivery sound level when measured from the residential property closest in proximity to the establishment does not exceed 65 dBA,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any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437.030.</w:t>
      </w:r>
      <w:r>
        <w:rPr>
          <w:u w:val="single"/>
        </w:rPr>
        <w:t xml:space="preserve"> </w:t>
      </w:r>
      <w:r>
        <w:rPr>
          <w:u w:val="single"/>
        </w:rPr>
        <w:t xml:space="preserve"> </w:t>
      </w:r>
      <w:r>
        <w:rPr>
          <w:u w:val="single"/>
        </w:rPr>
        <w:t xml:space="preserve">TRANSPORTING, DELIVERING, AND SERVING FOOD AT WORKPLACE BY FOOD SERVICE ESTABLISHMENT OR MOBILE FOOD UNIT.  (a)  This section applies only to a permitted food service establishment or permitted mobile food unit transporting and delivering to the premises of a workplace food to be served by an employee or contractor of the establishment or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county, a municipality, a public health district, or the department may not require a permitted food service establishment or permitted mobile food unit or an employee or contractor of an establishment or unit to obtain an additional permit or certification to transport, deliver, and serve food at the premises of a workplace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event that the food is assembled at the workplace, the employees or contractors of the establishment or unit comply with applicable food handler and food manager certification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of the establishment or unit serves the prepared food at the workplace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prepared food is sold to employees or guests of the workplace;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is prepared, transported, delivered, and served in accordance with local catering food safety rules, including time and temperature requirements;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adequate bathrooms and handwashing stations, whether plumbed or portable, are available on the workplace premises;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or unit transports, delivers, and serves food to the workplace premises not more than three days in a seven-day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county, a municipality, a public health district, or the department may not require an owner or operator of a workplace to which food is transported, delivered, or served under Subsection (b) to obtain a permit or certification.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w:t>
      </w:r>
      <w:r>
        <w:rPr>
          <w:u w:val="single"/>
        </w:rPr>
        <w:t xml:space="preserve">to pay a fee for or</w:t>
      </w:r>
      <w:r>
        <w:t xml:space="preserve"> to hold a local food manager card</w:t>
      </w:r>
      <w:r>
        <w:rPr>
          <w:u w:val="single"/>
        </w:rPr>
        <w:t xml:space="preserve">, license, permit, or certification or any other credential or paperwork</w:t>
      </w:r>
      <w:r>
        <w:t xml:space="preserve"> [</w:t>
      </w:r>
      <w:r>
        <w:rPr>
          <w:strike/>
        </w:rPr>
        <w:t xml:space="preserve">or charge a fee for issuance of the certificate under this subchapter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