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1020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bond offices, to the notification provided to a judge regarding tampering with an electronic monitoring device while released on bond or community supervision, and to the availability of certain information regarding a person required to submit to an electronic monitoring program or being supervised by a community supervision and corrections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5(a) and (b), Article 17.42,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submit a copy of the record to the attorney representing the state and the accused person's attorney and, as applicable based on whether the accused person violated a condition of release on bond in the preceding month, an update to that record</w:t>
      </w:r>
      <w:r>
        <w:t xml:space="preserve">.</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w:t>
      </w:r>
      <w:r>
        <w:rPr>
          <w:u w:val="single"/>
        </w:rPr>
        <w:t xml:space="preserve">, including failing to comply by tampering with an electronic monitoring device</w:t>
      </w:r>
      <w:r>
        <w:t xml:space="preserve">;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 Code of Criminal Procedure, is amended by adding Article 17.431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17.431.</w:t>
      </w:r>
      <w:r>
        <w:rPr>
          <w:u w:val="single"/>
        </w:rPr>
        <w:t xml:space="preserve"> </w:t>
      </w:r>
      <w:r>
        <w:rPr>
          <w:u w:val="single"/>
        </w:rPr>
        <w:t xml:space="preserve"> </w:t>
      </w:r>
      <w:r>
        <w:rPr>
          <w:u w:val="single"/>
        </w:rPr>
        <w:t xml:space="preserve">NOTIFICATION BY PERSONAL BOND OFFICE REGARDING ELECTRONIC MONITORING DEVICE VIOLATION.  Immediately after a personal bond office established under Article 17.42 determines there is reasonable cause to believe that a defendant supervised by the office has violated a condition of release on bond related to an electronic monitoring device, including a global positioning monitoring system as defined by Article 17.49, the personal bond office shall notify the court or magistrate having jurisdiction over the case.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 Code of Criminal Procedure, is amended by adding Article 17.442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17.442.</w:t>
      </w:r>
      <w:r>
        <w:rPr>
          <w:u w:val="single"/>
        </w:rPr>
        <w:t xml:space="preserve"> </w:t>
      </w:r>
      <w:r>
        <w:rPr>
          <w:u w:val="single"/>
        </w:rPr>
        <w:t xml:space="preserve"> </w:t>
      </w:r>
      <w:r>
        <w:rPr>
          <w:u w:val="single"/>
        </w:rPr>
        <w:t xml:space="preserve">NOTIFICATION BY AGENCY SUPERVISING DEFENDANT REGARDING ELECTRONIC MONITORING DEVICE VIOLATION.</w:t>
      </w:r>
      <w:r>
        <w:rPr>
          <w:u w:val="single"/>
        </w:rPr>
        <w:t xml:space="preserve"> </w:t>
      </w:r>
      <w:r>
        <w:rPr>
          <w:u w:val="single"/>
        </w:rPr>
        <w:t xml:space="preserve"> </w:t>
      </w:r>
      <w:r>
        <w:rPr>
          <w:u w:val="single"/>
        </w:rPr>
        <w:t xml:space="preserve">Immediately after the agency designated by the magistrate to supervise a defendant's release on bond, other than a personal bond, determines there is reasonable cause to believe that the defendant has violated a condition of release on bond related to an electronic monitoring device, including a global positioning monitoring system as defined by Article 17.49, the agency shall notify the court or magistrate having jurisdiction over the case.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P, Chapter 42A, Code of Criminal Procedure, is amended by adding Article 42A.7515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42A.7515.</w:t>
      </w:r>
      <w:r>
        <w:rPr>
          <w:u w:val="single"/>
        </w:rPr>
        <w:t xml:space="preserve"> </w:t>
      </w:r>
      <w:r>
        <w:rPr>
          <w:u w:val="single"/>
        </w:rPr>
        <w:t xml:space="preserve"> </w:t>
      </w:r>
      <w:r>
        <w:rPr>
          <w:u w:val="single"/>
        </w:rPr>
        <w:t xml:space="preserve">NOTIFICATION BY SUPERVISION OFFICER REGARDING ELECTRONIC MONITORING DEVICE VIOLATION.  Immediately after a supervision officer determines there is reasonable cause to believe that a defendant supervised by the officer has violated a condition of community supervision related to an electronic monitoring device, including a global positioning monitoring system as defined by Article 17.49, the supervision officer shall notify the judge of that violation.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21.013(a)(1),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"Judicial work product" means written, electronic, or oral material prepared or communications made in the course of an adjudicatory proceeding before a court determining legal rights, powers, duties, or privileges. </w:t>
      </w:r>
      <w:r>
        <w:t xml:space="preserve"> </w:t>
      </w:r>
      <w:r>
        <w:t xml:space="preserve">The term includes all drafts of opinions or orders and memoranda of law. </w:t>
      </w:r>
      <w:r>
        <w:t xml:space="preserve"> </w:t>
      </w:r>
      <w:r>
        <w:rPr>
          <w:u w:val="single"/>
        </w:rPr>
        <w:t xml:space="preserve">The term does not include information related to a person who is required to submit to electronic monitoring of a person's location as part of an electronic monitoring program under Article 42.035, Code of Criminal Procedure, or as a condition of community supervision, parole, mandatory supervision, or release on bail.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76.019,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may release data or information, including electronic monitoring data, reporting dates, contact information, family and collateral contacts, and addresses, related to the location of a person who is supervised by the department to law enforcement or the office of the attorney representing the state for the purpose of locating the person or serving a warrant.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Articles 17.431, 17.442, and 42A.7515, Code of Criminal Procedure, as added by this Act, apply only to a violation of a condition of release on bond or a violation of a condition of community supervision, as applicable, that occurs on or after the effective date of this Act. </w:t>
      </w:r>
      <w:r>
        <w:t xml:space="preserve"> </w:t>
      </w:r>
      <w:r>
        <w:t xml:space="preserve">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