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1032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postsecondary educational institutions to participate in the governor's university research initiative.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62.003(1),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Except as otherwise provided by Subchapters C, D, E, F, G, </w:t>
      </w:r>
      <w:r>
        <w:rPr>
          <w:u w:val="single"/>
        </w:rPr>
        <w:t xml:space="preserve">H,</w:t>
      </w:r>
      <w:r>
        <w:t xml:space="preserve"> and I, "eligible institution" means the eligible agencies and institutions of higher education listed in [</w:t>
      </w:r>
      <w:r>
        <w:rPr>
          <w:strike/>
        </w:rPr>
        <w:t xml:space="preserve">Article VII,</w:t>
      </w:r>
      <w:r>
        <w:t xml:space="preserve">] Section 17(b), </w:t>
      </w:r>
      <w:r>
        <w:rPr>
          <w:u w:val="single"/>
        </w:rPr>
        <w:t xml:space="preserve">Article VII, Texas</w:t>
      </w:r>
      <w:r>
        <w:t xml:space="preserve"> [</w:t>
      </w:r>
      <w:r>
        <w:rPr>
          <w:strike/>
        </w:rPr>
        <w:t xml:space="preserve">of the</w:t>
      </w:r>
      <w:r>
        <w:t xml:space="preserve">] Constitution [</w:t>
      </w:r>
      <w:r>
        <w:rPr>
          <w:strike/>
        </w:rPr>
        <w:t xml:space="preserve">of Texas</w:t>
      </w:r>
      <w:r>
        <w:t xml:space="preserve">], and any institution or agency of higher education that is later made eligible to participate in the disbursement of funds pursuant to [</w:t>
      </w:r>
      <w:r>
        <w:rPr>
          <w:strike/>
        </w:rPr>
        <w:t xml:space="preserve">Article VII,</w:t>
      </w:r>
      <w:r>
        <w:t xml:space="preserve">] Section 17(c) </w:t>
      </w:r>
      <w:r>
        <w:rPr>
          <w:u w:val="single"/>
        </w:rPr>
        <w:t xml:space="preserve">of that article</w:t>
      </w:r>
      <w:r>
        <w:t xml:space="preserve">[</w:t>
      </w:r>
      <w:r>
        <w:rPr>
          <w:strike/>
        </w:rPr>
        <w:t xml:space="preserve">, of the Constitution of Texas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62.161(2),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"Eligible institution" means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general academic teaching institution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or</w:t>
      </w:r>
      <w:r>
        <w:t xml:space="preserve">] medical and dental unit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private or independent institution of higher education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62.163(d),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matching grant may not be used by an eligible institution to recruit a distinguished researcher from[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another eligible institution[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private or independent institution of higher education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62.161(2) and 62.163(d), Education Code, as amended by this Act, apply beginning with grants awarded for the 2025-2026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