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1032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participation in the governor's university research initiative.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62.161(2),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"Eligible institution" means a general academic teaching institution </w:t>
      </w:r>
      <w:r>
        <w:rPr>
          <w:u w:val="single"/>
        </w:rPr>
        <w:t xml:space="preserve">,private or independent institution of higher education,</w:t>
      </w:r>
      <w:r>
        <w:t xml:space="preserve"> or medical and dental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62.163, Education Code, is amended to read as follows:</w:t>
      </w:r>
    </w:p>
    <w:p w:rsidR="003F3435" w:rsidRDefault="0032493E">
      <w:pPr>
        <w:spacing w:line="480" w:lineRule="auto"/>
        <w:ind w:firstLine="720"/>
        <w:jc w:val="both"/>
      </w:pPr>
      <w:r>
        <w:t xml:space="preserve">(d)</w:t>
      </w:r>
      <w:r xml:space="preserve">
        <w:t> </w:t>
      </w:r>
      <w:r xml:space="preserve">
        <w:t> </w:t>
      </w:r>
      <w:r>
        <w:t xml:space="preserve">A matching grant may not be used by an eligible institution to recruit a distinguished researcher from[</w:t>
      </w:r>
      <w:r>
        <w:rPr>
          <w:strike/>
        </w:rPr>
        <w:t xml:space="preserve">:</w:t>
      </w:r>
    </w:p>
    <w:p w:rsidR="003F3435" w:rsidRDefault="0032493E">
      <w:pPr>
        <w:spacing w:line="480" w:lineRule="auto"/>
        <w:ind w:firstLine="1440"/>
        <w:jc w:val="both"/>
      </w:pPr>
      <w:r>
        <w:rPr>
          <w:strike/>
        </w:rPr>
        <w:t xml:space="preserve">(1)</w:t>
      </w:r>
      <w:r>
        <w:t xml:space="preserve">]  another eligible institution[</w:t>
      </w:r>
      <w:r>
        <w:rPr>
          <w:strike/>
        </w:rPr>
        <w:t xml:space="preserve">; or</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a private or independent institution of higher education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made to Sections 62.161(2) and 62.163(d), Education Code, as amended by this Act, applies only to an agreement entered into under Subchapter H, Chapter 62, Education Code,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