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89R21424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Sparks,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2493E">
      <w:pPr>
        <w:ind w:firstLine="720"/>
        <w:jc w:val="both"/>
      </w:pPr>
      <w:r>
        <w:t xml:space="preserve">(Spiller, Harris, Ashby, Cain, et al.)</w:t>
      </w:r>
    </w:p>
    <w:p w:rsidR="003F3435" w:rsidRDefault="0032493E">
      <w:pPr>
        <w:spacing w:before="240"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Cain</w:t>
      </w:r>
      <w:r xml:space="preserve">
        <w:tab wTab="150" tlc="none" cTlc="0"/>
      </w:r>
      <w:r>
        <w:t xml:space="preserve">C.S.S.B.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and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1035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