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Parker,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1057</w:t>
      </w:r>
    </w:p>
    <w:p w:rsidR="003F3435" w:rsidRDefault="0032493E">
      <w:pPr>
        <w:ind w:firstLine="720"/>
        <w:jc w:val="both"/>
      </w:pPr>
      <w:r>
        <w:t xml:space="preserve">(Meyer, Button, Anchía, Capriglione)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submission and approval of certain proposals by shareholders of nationally listed corporations.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H, Chapter 21, Business Organizations Code, is amended by adding Section 21.373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21.373.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NATIONALLY LISTED CORPORATIONS: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SHAREHOLDER PROPOSALS.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"Nationally listed corporation" means a corporation that: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a class of equity securities registered under Section 12(b) of the Securities Exchange Act of 1934 (15 U.S.C. Section 78l(b));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admitted to listing on a national securities exchange;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either: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its principal office in this state; or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admitted to listing on a stock exchange that:</w:t>
      </w:r>
    </w:p>
    <w:p w:rsidR="003F3435" w:rsidRDefault="0032493E">
      <w:pPr>
        <w:spacing w:line="480" w:lineRule="auto"/>
        <w:ind w:firstLine="360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its principal office in this state; and</w:t>
      </w:r>
    </w:p>
    <w:p w:rsidR="003F3435" w:rsidRDefault="0032493E">
      <w:pPr>
        <w:spacing w:line="480" w:lineRule="auto"/>
        <w:ind w:firstLine="360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received approval by the securities commissioner under Subchapter C, Chapter 4005, Government Code.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"Voting shares" means shares that entitle the holders of the shares to vote on a proposal.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applies only to a nationally listed corporation that makes an affirmative election to be governed by this section under an amendment to the corporation's governing documents.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nationally listed corporation shall provide notice to shareholders of the proposed adoption of an amendment under Subsection (b) in any proxy statement provided to shareholders preceding the amendment's adoption.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nationally listed corporation shall include in any proxy statement provided to shareholders specific information about the process by which a shareholder or group of shareholders may submit a proposal on a matter requiring shareholder approval, including information for how shareholders may contact other shareholders for the purpose of satisfying the ownership requirements in this section.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Except as provided by Subsection (f) and subject to the corporation's governing documents, to submit a proposal on a matter to the shareholders for approval at a meeting of shareholders, a shareholder or group of shareholders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hold an amount of voting shares of the corporation, determined as of the date of submission of the proposal, equal to at least: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$1 million in market value;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three percent of the corporation's voting shares;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hold the shares described by Subdivision (1):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a continuous period of least six months before the date of the meeting;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throughout the entire duration of the meeting;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solicit the holders of shares representing at least 67 percent of the voting power of shares entitled to vote on the proposal.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Subsection (e) does not apply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director nominations;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procedural resolutions that are ancillary to the conduct of the meeting.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1057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