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89R11822 TYPED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shareholder proposals submitted to certain domestic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 (a) </w:t>
      </w:r>
      <w:r>
        <w:rPr>
          <w:u w:val="single"/>
        </w:rPr>
        <w:t xml:space="preserve"> </w:t>
      </w:r>
      <w:r>
        <w:rPr>
          <w:u w:val="single"/>
        </w:rPr>
        <w:t xml:space="preserve">This section applies only to a corporation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formed under the laws of this state;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  <w:r>
        <w:t xml:space="preserve"> 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state pursuant to Subchapter C, Chapter 4005, Government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opts into this section by amending its governing documents and providing notice to shareholders in its proxy statement.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a corporation's governing documents, to submit a matter to the shareholders for approval at a shareholder meeting, a shareholder, or group of shareholders,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no less than the lesser of: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$1,000,000 in market value of the corporation's securities entitled to vote on the proposal, measured at the date of submission of the proposal;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securities entitled to vote on the proposal;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continuously maintain ownership in the shares required by Subdivision (1) for at least six months leading up to and through the shareholder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67%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(b)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this section applies to a corporation, it shall not be legally permissible for the shareholders of the corporation to vote on any matter submitted to a meeting of shareholders by a shareholder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proposal has been submitted in compliance with subsection (b);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proposal is exempt under subsection (c).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