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1058</w:t>
      </w:r>
    </w:p>
    <w:p w:rsidR="003F3435" w:rsidRDefault="0032493E">
      <w:pPr>
        <w:ind w:firstLine="720"/>
        <w:jc w:val="both"/>
      </w:pPr>
      <w:r>
        <w:t xml:space="preserve">(Capriglione, Button)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 registered securities market operator.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that is a registered securities market operator shall exclude from its total revenue transaction rebate payments made by the operator to a broker or dealer as part of a securities transaction.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"Broker" has the meaning assigned by 15 U.S.C. Section 78c(a)(4).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"Dealer" has the meaning assigned by 15 U.S.C. Section 78c(a)(5).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"Registered securities market operator"</w:t>
      </w:r>
      <w:r>
        <w:rPr>
          <w:u w:val="single"/>
        </w:rPr>
        <w:t xml:space="preserve"> </w:t>
      </w:r>
      <w:r>
        <w:rPr>
          <w:u w:val="single"/>
        </w:rPr>
        <w:t xml:space="preserve">means an entity that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engaged in activities described in category 523210 of the 2022 North American Industry Classification System;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registration with and regulation by the United States Securities and Exchange Commission or the United States Commodity Futures Trading Commission.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by a broker or dealer.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incentivize a broker or dealer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