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1065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3,</w:t>
      </w:r>
      <w:r xml:space="preserve">
        <w:t> </w:t>
      </w:r>
      <w:r>
        <w:t xml:space="preserve">2025; February</w:t>
      </w:r>
      <w:r xml:space="preserve">
        <w:t> </w:t>
      </w:r>
      <w:r>
        <w:t xml:space="preserve">24,</w:t>
      </w:r>
      <w:r xml:space="preserve">
        <w:t> </w:t>
      </w:r>
      <w:r>
        <w:t xml:space="preserve">2025, read first time and referred to Committee on State Affairs; April</w:t>
      </w:r>
      <w:r xml:space="preserve">
        <w:t> </w:t>
      </w:r>
      <w:r>
        <w:t xml:space="preserve">15,</w:t>
      </w:r>
      <w:r xml:space="preserve">
        <w:t> </w:t>
      </w:r>
      <w:r>
        <w:t xml:space="preserve">2025, reported favorably by the following vote:</w:t>
      </w:r>
      <w:r>
        <w:t xml:space="preserve"> </w:t>
      </w:r>
      <w:r>
        <w:t xml:space="preserve"> </w:t>
      </w:r>
      <w:r>
        <w:t xml:space="preserve">Yeas 8, Nays 1; April</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required provision in certain governmental entity contracts regarding the carrying of handguns by license holders;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411.2095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411.2095.</w:t>
      </w:r>
      <w:r>
        <w:rPr>
          <w:u w:val="single"/>
        </w:rPr>
        <w:t xml:space="preserve"> </w:t>
      </w:r>
      <w:r>
        <w:rPr>
          <w:u w:val="single"/>
        </w:rPr>
        <w:t xml:space="preserve"> </w:t>
      </w:r>
      <w:r>
        <w:rPr>
          <w:u w:val="single"/>
        </w:rPr>
        <w:t xml:space="preserve">VIOLATION OF CONTRACT PROVISION RELATING TO LICENSE HOLDER; CIVIL PENALTY.  (a) In this section, "governmental entity" has the meaning assigned by Section 2252.911(a).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contractor who uses property owned or leased by a governmental entity under a contract containing a condition described by Section 2252.911(b) may not take any action, including an action consisting of the provision of notice by a communication described by Section 30.06 or 30.07, Penal Code, that states or implies that a license holder who is carrying a handgun under the authority of this subchapter is prohibited from entering or remaining on the property or a portion of the property unless license holders are prohibited from carrying a handgun on the property or that portion of the property by Section 46.03, Penal Code, or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contractor that violates Subsection (b)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$10,000 and not more than $10,500 for the second or a subsequent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of a continuing violation of Subsection (b) constitutes a separate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resident of this state or a person licensed to carry a handgun under this subchapter may file a complaint with the attorney general that a contractor is in violation of Subsection (b) if the resident or license holder provides the contractor a written notice that describes the location and general facts of the violation and the contractor does not cure the violation before the end of the third business day after the date of receiving the written notice.</w:t>
      </w:r>
      <w:r>
        <w:rPr>
          <w:u w:val="single"/>
        </w:rPr>
        <w:t xml:space="preserve"> </w:t>
      </w:r>
      <w:r>
        <w:rPr>
          <w:u w:val="single"/>
        </w:rPr>
        <w:t xml:space="preserve"> </w:t>
      </w:r>
      <w:r>
        <w:rPr>
          <w:u w:val="single"/>
        </w:rPr>
        <w:t xml:space="preserve">A complaint filed with the attorney general under this subsection must include evidence of the violation and a copy of the written notice provided to the contractor.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suit may be brought against a contractor for a violation of Subsection (b), the attorney general must investigate the complaint to determine whether legal action is warranted.</w:t>
      </w:r>
      <w:r>
        <w:rPr>
          <w:u w:val="single"/>
        </w:rPr>
        <w:t xml:space="preserve"> </w:t>
      </w:r>
      <w:r>
        <w:rPr>
          <w:u w:val="single"/>
        </w:rPr>
        <w:t xml:space="preserve"> </w:t>
      </w:r>
      <w:r>
        <w:rPr>
          <w:u w:val="single"/>
        </w:rPr>
        <w:t xml:space="preserve">If legal action is warranted, the attorney general must give the contractor charged with the violation a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contractor 15 days from receipt of the notice to cure the violation to avoid the penalty, unless the contractor was found liable by a court for previously violating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attorney general determines that legal action is warranted and that the contractor has not cured the violation within the 15-day period provided by Subsection (g)(3), the attorney general or the appropriate county or district attorney may sue to collect the civil penalty provided by Subsection (c). </w:t>
      </w:r>
      <w:r>
        <w:rPr>
          <w:u w:val="single"/>
        </w:rPr>
        <w:t xml:space="preserve"> </w:t>
      </w:r>
      <w:r>
        <w:rPr>
          <w:u w:val="single"/>
        </w:rPr>
        <w:t xml:space="preserve">The attorney general may also file a petition for appropriate equitable relief. </w:t>
      </w:r>
      <w:r>
        <w:rPr>
          <w:u w:val="single"/>
        </w:rPr>
        <w:t xml:space="preserve"> </w:t>
      </w:r>
      <w:r>
        <w:rPr>
          <w:u w:val="single"/>
        </w:rPr>
        <w:t xml:space="preserve">A suit or petition under this subsection may be filed in a district court in Travis County or in a county in which the contractor's principal place of business is located. </w:t>
      </w:r>
      <w:r>
        <w:rPr>
          <w:u w:val="single"/>
        </w:rPr>
        <w:t xml:space="preserve"> </w:t>
      </w:r>
      <w:r>
        <w:rPr>
          <w:u w:val="single"/>
        </w:rPr>
        <w:t xml:space="preserve">The attorney general may recover reasonable expenses incurred in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2252, Government Code, is amended by adding Section 2252.911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2252.911.</w:t>
      </w:r>
      <w:r>
        <w:rPr>
          <w:u w:val="single"/>
        </w:rPr>
        <w:t xml:space="preserve"> </w:t>
      </w:r>
      <w:r>
        <w:rPr>
          <w:u w:val="single"/>
        </w:rPr>
        <w:t xml:space="preserve"> </w:t>
      </w:r>
      <w:r>
        <w:rPr>
          <w:u w:val="single"/>
        </w:rPr>
        <w:t xml:space="preserve">REQUIRED CONTRACT PROVISION RELATING TO HANDGUNS CARRIED BY LICENSE HOLDERS.  (a) </w:t>
      </w:r>
      <w:r>
        <w:rPr>
          <w:u w:val="single"/>
        </w:rPr>
        <w:t xml:space="preserve"> </w:t>
      </w:r>
      <w:r>
        <w:rPr>
          <w:u w:val="single"/>
        </w:rPr>
        <w:t xml:space="preserve">In this section,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municipality, special-purpose district or authority, or any other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the use of property owned or leased by a governmental entity must include the following statement:</w:t>
      </w:r>
    </w:p>
    <w:p w:rsidR="003F3435" w:rsidRDefault="0032493E">
      <w:pPr>
        <w:spacing w:line="480" w:lineRule="auto"/>
        <w:ind w:firstLine="720"/>
        <w:jc w:val="both"/>
      </w:pPr>
      <w:r>
        <w:rPr>
          <w:u w:val="single"/>
        </w:rPr>
        <w:t xml:space="preserve">"______________ (name of contractor), during the term of this contract, may not in any manner prohibit a license holder who is carrying a handgun under the authority of Subchapter H, Chapter 411, Government Code, from entering or remaining on the property or a portion of the property, including a prohibition imposed through the provision of notice by a communication described by Section 30.06 or 30.07, Penal Code, unless license holders are prohibited from carrying handguns on the property or that portion of the property under Section 46.03, Penal Code, or other law. </w:t>
      </w:r>
      <w:r>
        <w:rPr>
          <w:u w:val="single"/>
        </w:rPr>
        <w:t xml:space="preserve"> </w:t>
      </w:r>
      <w:r>
        <w:rPr>
          <w:u w:val="single"/>
        </w:rPr>
        <w:t xml:space="preserve">Each violation of this provision may result in a civil penalty of up to $10,500 and a judgment for the expenses associated with obtaining relief under Section 411.2095,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provisions of this Act are severable, and if any provision of this Act or the application of the provision to any person or circumstance is declared invalid for any reason, the declaration does not affect the validity of the remaining portions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2252.911, Government Code, as added by this Act, does not apply to a contract entered into before the effective date of this Act, except that if the contract is renewed, modified, or extended on or after the effective date of this Act, Section 2252.911, Government Code, applies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