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1066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requirement for performance and payment bonds from certain contractors of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11.0171, Parks and Wildlife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value of a contract under Subsection (a)(2) for constructing, altering, or repairing a public building or carrying out or completing any public work exceeds $150,000, the department, the executive director, or the executive director's designee shall require the contractor to execute a performance bond and a payment bond to the department</w:t>
      </w:r>
      <w:r>
        <w:rPr>
          <w:u w:val="single"/>
        </w:rPr>
        <w:t xml:space="preserve"> </w:t>
      </w:r>
      <w:r>
        <w:rPr>
          <w:u w:val="single"/>
        </w:rPr>
        <w:t xml:space="preserve">before beginning 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11.0171(a-1), Parks and Wildlife Code, as added by this Act, applies only to a contract for which the Parks and Wildlife Department first advertises or otherwise requests bids, proposals, offers, or qualifications, or makes a similar solicitation, on or after the effective date of this Act.  A contract for which the department first advertises or otherwise requests bids, proposals, offers, or qualifications, or makes a similar solicitation, before the effective date of this Act is governed by the law as it existed immediately before that date,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