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1066</w:t>
      </w:r>
    </w:p>
    <w:p w:rsidR="003F3435" w:rsidRDefault="0032493E">
      <w:pPr>
        <w:ind w:firstLine="720"/>
        <w:jc w:val="both"/>
      </w:pPr>
      <w:r>
        <w:t xml:space="preserve">(Metcalf)</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requirement for performance and payment bonds from certain contractors of the Parks and Wildlife Department.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11.0171, Parks and Wildlife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the value of a contract under Subsection (a)(2) for constructing, altering, or repairing a public building or carrying out or completing any public work exceeds $150,000, the department, the executive director, or the executive director's designee shall require the contractor to execute a performance bond and a payment bond to the department</w:t>
      </w:r>
      <w:r>
        <w:rPr>
          <w:u w:val="single"/>
        </w:rPr>
        <w:t xml:space="preserve"> </w:t>
      </w:r>
      <w:r>
        <w:rPr>
          <w:u w:val="single"/>
        </w:rPr>
        <w:t xml:space="preserve">before beginning work.</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11.0171(a-1), Parks and Wildlife Code, as added by this Act, applies only to a contract for which the Parks and Wildlife Department first advertises or otherwise requests bids, proposals, offers, or qualifications, or makes a similar solicitation, on or after the effective date of this Act.  A contract for which the department first advertises or otherwise requests bids, proposals, offers, or qualifications, or makes a similar solicitation, before the effective date of this Act is governed by the law as it existed immediately before that date,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