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1066</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3,</w:t>
      </w:r>
      <w:r xml:space="preserve">
        <w:t> </w:t>
      </w:r>
      <w:r>
        <w:t xml:space="preserve">2025; February</w:t>
      </w:r>
      <w:r xml:space="preserve">
        <w:t> </w:t>
      </w:r>
      <w:r>
        <w:t xml:space="preserve">24,</w:t>
      </w:r>
      <w:r xml:space="preserve">
        <w:t> </w:t>
      </w:r>
      <w:r>
        <w:t xml:space="preserve">2025, read first time and referred to Committee on Water, Agriculture and Rural Affairs; March</w:t>
      </w:r>
      <w:r xml:space="preserve">
        <w:t> </w:t>
      </w:r>
      <w:r>
        <w:t xml:space="preserve">4,</w:t>
      </w:r>
      <w:r xml:space="preserve">
        <w:t> </w:t>
      </w:r>
      <w:r>
        <w:t xml:space="preserve">2025, reported adversely, with favorable Committee Substitute by the following vote:</w:t>
      </w:r>
      <w:r>
        <w:t xml:space="preserve"> </w:t>
      </w:r>
      <w:r>
        <w:t xml:space="preserve"> </w:t>
      </w:r>
      <w:r>
        <w:t xml:space="preserve">Yeas 8, Nays 0; March</w:t>
      </w:r>
      <w:r xml:space="preserve">
        <w:t> </w:t>
      </w:r>
      <w:r>
        <w:t xml:space="preserve">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1066</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requirement for performance and payment bonds from certain contractors of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11.0171, Parks and Wildlife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value of a contract under Subsection (a)(2) for constructing, altering, or repairing a public building or carrying out or completing any public work exceeds $150,000, the department, the executive director, or the executive director's designee shall require the contractor to execute a performance bond and a payment bond to the department</w:t>
      </w:r>
      <w:r>
        <w:rPr>
          <w:u w:val="single"/>
        </w:rPr>
        <w:t xml:space="preserve"> </w:t>
      </w:r>
      <w:r>
        <w:rPr>
          <w:u w:val="single"/>
        </w:rPr>
        <w:t xml:space="preserve">before beginning 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11.0171(a-1), Parks and Wildlife Code, as added by this Act, applies only to a contract for which the Parks and Wildlife Department first advertises or otherwise requests bids, proposals, offers, or qualifications, or makes a similar solicitation, on or after the effective date of this Act.  A contract for which the department first advertises or otherwise requests bids, proposals, offers, or qualifications, or makes a similar solicitation, before the effective date of this Act is governed by the law as it existed immediately before that date,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