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1079</w:t>
      </w:r>
    </w:p>
    <w:p w:rsidR="003F3435" w:rsidRDefault="0032493E">
      <w:pPr>
        <w:ind w:firstLine="720"/>
        <w:jc w:val="both"/>
      </w:pPr>
      <w:r>
        <w:t xml:space="preserve">(Garcia Hernandez,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county to dispose of sensitive media devices.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263, Local Government Code, is amended by adding Section 263.1521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263.1521.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SENSITIVE MEDIA DEVICES.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"sensitive media device" means a data storage device that the commissioners court of a county determines the county has used to store data the maintenance or disclosure of which is regulated by state or federal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263.152, the commissioners court of a county may order the destruction of a sensitive media device: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salvage or surplus property;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which the commissioners court determines that the destruction of the sensitive media device is necessary to prevent inadvertent disclosure of information in connection with the disposal of the device.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