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1198</w:t>
      </w:r>
    </w:p>
    <w:p w:rsidR="003F3435" w:rsidRDefault="0032493E">
      <w:pPr>
        <w:ind w:firstLine="720"/>
        <w:jc w:val="both"/>
      </w:pPr>
      <w:r>
        <w:t xml:space="preserve">(Morales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spaceports as critical infrastructure facilities for purposes of criminal and civil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w:t>
      </w:r>
    </w:p>
    <w:p w:rsidR="003F3435" w:rsidRDefault="0032493E">
      <w:pPr>
        <w:spacing w:line="480" w:lineRule="auto"/>
        <w:ind w:firstLine="1440"/>
        <w:jc w:val="both"/>
      </w:pPr>
      <w:r>
        <w:t xml:space="preserve">(2)</w:t>
      </w:r>
      <w:r xml:space="preserve">
        <w:t> </w:t>
      </w:r>
      <w:r xml:space="preserve">
        <w:t> </w:t>
      </w:r>
      <w:r>
        <w:t xml:space="preserve">a public or private airport depicted in any current aeronautical chart published by the Federal Aviation Administration;</w:t>
      </w:r>
    </w:p>
    <w:p w:rsidR="003F3435" w:rsidRDefault="0032493E">
      <w:pPr>
        <w:spacing w:line="480" w:lineRule="auto"/>
        <w:ind w:firstLine="1440"/>
        <w:jc w:val="both"/>
      </w:pPr>
      <w:r>
        <w:t xml:space="preserve">(3)</w:t>
      </w:r>
      <w:r xml:space="preserve">
        <w:t> </w:t>
      </w:r>
      <w:r xml:space="preserve">
        <w:t> </w:t>
      </w:r>
      <w:r>
        <w:t xml:space="preserve">a military installation owned or operated by or for the federal government, this state, or another governmental entity;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any property or facility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for the launch, landing, recovery, or testing of spacecraft, as defined by Section 507.001, Local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by the Federal Aviation Administration or operated by a spaceport development corporation under Chapter 507, Local Government Code; and</w:t>
      </w:r>
    </w:p>
    <w:p w:rsidR="003F3435" w:rsidRDefault="0032493E">
      <w:pPr>
        <w:spacing w:line="480" w:lineRule="auto"/>
        <w:ind w:firstLine="1440"/>
        <w:jc w:val="both"/>
      </w:pPr>
      <w:r>
        <w:rPr>
          <w:u w:val="single"/>
        </w:rPr>
        <w:t xml:space="preserve">(5)</w:t>
      </w:r>
      <w:r xml:space="preserve">
        <w:t> </w:t>
      </w:r>
      <w:r xml:space="preserve">
        <w:t> </w:t>
      </w:r>
      <w:r>
        <w:t xml:space="preserve">a </w:t>
      </w:r>
      <w:r>
        <w:rPr>
          <w:u w:val="single"/>
        </w:rPr>
        <w:t xml:space="preserve">property,</w:t>
      </w:r>
      <w:r>
        <w:t xml:space="preserve"> facility</w:t>
      </w:r>
      <w:r>
        <w:rPr>
          <w:u w:val="single"/>
        </w:rPr>
        <w:t xml:space="preserve">,</w:t>
      </w:r>
      <w:r>
        <w:t xml:space="preserve">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in effect on the date the cause of action accrued,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