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Sparks</w:t>
      </w:r>
      <w:r xml:space="preserve">
        <w:tab wTab="150" tlc="none" cTlc="0"/>
      </w:r>
      <w:r>
        <w:t xml:space="preserve">S.B.</w:t>
      </w:r>
      <w:r xml:space="preserve">
        <w:t> </w:t>
      </w:r>
      <w:r>
        <w:t xml:space="preserve">No.</w:t>
      </w:r>
      <w:r xml:space="preserve">
        <w:t> </w:t>
      </w:r>
      <w:r>
        <w:t xml:space="preserve">1233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or life-limiting illnesses or medical conditions;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unborn child is diagnosed with a life-threatening or life-limiting illness or medical condition that may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unborn children are no longer prematurely taken by abortion in this state, many of the children described by Subdivision (2) of this section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w:t>
      </w:r>
      <w:r>
        <w:rPr>
          <w:u w:val="single"/>
        </w:rPr>
        <w:t xml:space="preserve"> </w:t>
      </w:r>
      <w:r>
        <w:rPr>
          <w:u w:val="single"/>
        </w:rPr>
        <w:t xml:space="preserve">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a pregnant woman whose unborn child is diagnosed with a life-threatening or life-limiting illness or medical condition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woman who is pregnant or delivers a child, her unborn child or infant, and her family, from diagnosis of the unborn child's life-threatening or life-limiting illness or medical condition through the duration of the perinatal period and possible death as a result of the illness or condition. </w:t>
      </w:r>
      <w:r>
        <w:rPr>
          <w:u w:val="single"/>
        </w:rPr>
        <w:t xml:space="preserve"> </w:t>
      </w:r>
      <w:r>
        <w:rPr>
          <w:u w:val="single"/>
        </w:rPr>
        <w:t xml:space="preserve">The care may be provided concurrently with methods of treatment or therapies that seek to cure or minimize the effects of the illness or condition.  The term: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includes medical, social, and mental health care, including counseling regarding treatment options, education, informed consent, and expression of desires, and health care provided by maternal-fetal medical specialists, obstetricians, neonatologists, anesthesia specialists, specialty nurses, clergy, social workers, and other individuals focused on alleviating fear and pain and ensuring the woman, her unborn child or infant, and her family experience a supportive environment;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does not include an act or omission intended to cause or hasten an unborn child's death.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"Perinatal period" means the period beginning at conception and ending on an infant's first birthday.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in collaboration with the department and the Palliative Care Interdisciplinary Advisory Council established under Chapter 118,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perinatal palliative care providers and programs in this state.  The list must include the name, physical address, and phone number of each provider or program. </w:t>
      </w:r>
      <w:r>
        <w:rPr>
          <w:u w:val="single"/>
        </w:rPr>
        <w:t xml:space="preserve"> </w:t>
      </w:r>
      <w:r>
        <w:rPr>
          <w:u w:val="single"/>
        </w:rPr>
        <w:t xml:space="preserve">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 unless the provider or affiliate performs abortions only during a medical emergency as defined by Section 171.002.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the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in collaboration with the department,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UNBORN CHILD'S LIFE-THREATENING OR LIFE-LIMITING ILLNESS OR MEDICAL CONDITION.  A health care provider who diagnoses a pregnant woman's unborn child as having a life-threatening or life-limiting illness or medical condition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COMPLAINTS; DISCIPLINARY ACTION; ADMINISTRATIVE PENALTY. </w:t>
      </w:r>
      <w:r>
        <w:rPr>
          <w:u w:val="single"/>
        </w:rPr>
        <w:t xml:space="preserve"> </w:t>
      </w:r>
      <w:r>
        <w:rPr>
          <w:u w:val="single"/>
        </w:rPr>
        <w:t xml:space="preserve">(a) </w:t>
      </w:r>
      <w:r>
        <w:rPr>
          <w:u w:val="single"/>
        </w:rPr>
        <w:t xml:space="preserve"> </w:t>
      </w:r>
      <w:r>
        <w:rPr>
          <w:u w:val="single"/>
        </w:rPr>
        <w:t xml:space="preserve">If a health care provider fails to provide to a pregnant woman the perinatal palliative care informational materials as required by Section 161.755, the woman may submit a complaint to the commission in the form and manner the commission prescribes.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