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w:t>
      </w:r>
      <w:r xml:space="preserve">
        <w:tab wTab="150" tlc="none" cTlc="0"/>
      </w:r>
      <w:r>
        <w:t xml:space="preserve">S.B.</w:t>
      </w:r>
      <w:r xml:space="preserve">
        <w:t> </w:t>
      </w:r>
      <w:r>
        <w:t xml:space="preserve">No.</w:t>
      </w:r>
      <w:r xml:space="preserve">
        <w:t> </w:t>
      </w:r>
      <w:r>
        <w:t xml:space="preserve">1239</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12,</w:t>
      </w:r>
      <w:r xml:space="preserve">
        <w:t> </w:t>
      </w:r>
      <w:r>
        <w:t xml:space="preserve">2025; February</w:t>
      </w:r>
      <w:r xml:space="preserve">
        <w:t> </w:t>
      </w:r>
      <w:r>
        <w:t xml:space="preserve">28,</w:t>
      </w:r>
      <w:r xml:space="preserve">
        <w:t> </w:t>
      </w:r>
      <w:r>
        <w:t xml:space="preserve">2025, read first time and referred to Committee on Business &amp; Commerce; March</w:t>
      </w:r>
      <w:r xml:space="preserve">
        <w:t> </w:t>
      </w:r>
      <w:r>
        <w:t xml:space="preserve">31,</w:t>
      </w:r>
      <w:r xml:space="preserve">
        <w:t> </w:t>
      </w:r>
      <w:r>
        <w:t xml:space="preserve">2025, reported adversely, with favorable Committee Substitute by the following vote:</w:t>
      </w:r>
      <w:r>
        <w:t xml:space="preserve"> </w:t>
      </w:r>
      <w:r>
        <w:t xml:space="preserve"> </w:t>
      </w:r>
      <w:r>
        <w:t xml:space="preserve">Yeas 10, Nays 0; March</w:t>
      </w:r>
      <w:r xml:space="preserve">
        <w:t> </w:t>
      </w:r>
      <w:r>
        <w:t xml:space="preserve">31,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1239</w:t>
      </w:r>
      <w:r xml:space="preserve">
        <w:tab wTab="150" tlc="none" cTlc="0"/>
      </w:r>
      <w:r>
        <w:t xml:space="preserve">By:</w:t>
      </w:r>
      <w:r xml:space="preserve">
        <w:t> </w:t>
      </w:r>
      <w:r xml:space="preserve">
        <w:t> </w:t>
      </w:r>
      <w:r>
        <w:t xml:space="preserve">Middleton</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choice of law and assignment or acquisition of claims and demands in connection with certificated and uncertificated securities.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8.110, Business &amp; Commerce Code, is amended by adding Subsection (g)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a security is determined not to be valid under the local law of the issuer's jurisdiction, the law of the jurisdiction agreed by the issuer of the security to govern the construction or interpretation of documents evidencing or containing the terms of the security and matters arising out of or relating to the security and documents, including the enforceability of the security and the rights and remedies available to a purchaser of such a security, governs the consequences to the issuer and the purchaser of the invalidity.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8.302, Business &amp; Commerce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rights acquired by a purchaser of a certificated or uncertificated security issued by a foreign state as defined by 28 U.S.C. Section 1603, unless otherwise agreed in writing, include, without limitation, all of the following claims and demands of the transferor, regardless of whether the claims and demands are known to exist: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claim or demand for damages or rescission against the issuer or other party to such security;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claim or demand for damages against the trustee, depositary, or other party under any indenture under which such security was issued or is outstanding;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claim or demand for damages against any issuer, underwriter, trustee, depositary, guarantor, or other party to the obligations of the issuer;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claim or demand to enforce any rights of a securityholder under the terms of such security, including rights arising prior to the date of the transfer.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Except as specifically provided by statute with respect to assignments of the claims and demands of a transferor to the purchaser of a certificated or uncertificated security issued by a foreign state as defined by 28 U.S.C. Section 1603, no issuer or other party subject to any obligation, or to any claim or demand for damages, with respect to any such security may assert a defense to such an obligation, claim, or demand, or assert a claim against the purchaser, based on the intent of the purchaser, or an assignor or assignee of the purchaser, to assert or pursue through litigation or other lawful means the enforcement of the purchaser's rights thereto.</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271.005, Business &amp; Commerce Code, is amended by adding Subsections (a-1) and (c)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Unless otherwise agreed in writing, the choice of governing law specified in the terms applicable to a certificated or uncertificated security issued by a foreign state as defined by 28 U.S.C. Section 1603 in a qualified transaction, including any change in that governing law, applies retroactively to all issues relating to such security.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security issued by a foreign state as defined by 28 U.S.C. Section 1603 in a qualified transaction may be modified or amended, in accordance with such security's terms, to permit amendment of the terms of the security by less than unanimous consent, and to choose the law of a different jurisdiction to govern the security.  An amendment described by this subsection applies retroactively unless otherwise agreed by the parties in writing.</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1239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