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1257</w:t>
      </w:r>
    </w:p>
    <w:p w:rsidR="003F3435" w:rsidRDefault="0032493E">
      <w:pPr>
        <w:ind w:firstLine="720"/>
        <w:jc w:val="both"/>
      </w:pPr>
      <w:r>
        <w:t xml:space="preserve">(Leach,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1373 to read as follows:</w:t>
      </w:r>
    </w:p>
    <w:p w:rsidR="003F3435" w:rsidRDefault="0032493E">
      <w:pPr>
        <w:spacing w:line="480" w:lineRule="auto"/>
        <w:jc w:val="center"/>
      </w:pPr>
      <w:r>
        <w:rPr>
          <w:u w:val="single"/>
        </w:rPr>
        <w:t xml:space="preserve">CHAPTER 1373. </w:t>
      </w:r>
      <w:r>
        <w:rPr>
          <w:u w:val="single"/>
        </w:rPr>
        <w:t xml:space="preserve"> </w:t>
      </w:r>
      <w:r>
        <w:rPr>
          <w:u w:val="single"/>
        </w:rPr>
        <w:t xml:space="preserve">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w:t>
      </w:r>
      <w:r>
        <w:rPr>
          <w:u w:val="single"/>
        </w:rPr>
        <w:t xml:space="preserve"> </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540,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or has ever provided coverage for an enrollee's gender transition procedure or treatment shall provide coverage for, including for any applicable diagnostic or billing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baseline and follow-up testing or screening necessary to monitor the mental and physical health of the enrollee on at least an annual basis without regard to the sex or gender identity designation in the enrollee's medical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treatment, or therapy necessary to manage, reverse, reconstruct from, or recover from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1373.003, Insurance Code, as added by this Act, applies only to a health benefit plan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