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Alvarado, 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1265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Creighton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duties of the Texas Workforce Commission with respect to child-care resources.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RESOURCES FOR EMPLOYERS.  (a)  The commission shall maintain in a prominent location on its Internet website a link to a web page consisting of comprehensive and current information to help employers assist employees who are parents with accessing child care, including information 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assistance;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best practices for assisting employees who are parents;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state and federal tax credits;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dependent care savings accounts;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free tools or templates;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and benefits an employer may adopt to assist employees in accessing child care;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resources related to child care that the commission considers relevant.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web page described by Subsection (a) must include an explanation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does not and may not provide legal advice;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employer is not required to implement any employment policy or benefit included on the web page unless required by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February 1, 2026, the Texas Workforce Commission shall post on its Internet website the information required by Section 302.0064, Labor Code, as added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