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et al.</w:t>
      </w:r>
      <w:r xml:space="preserve">
        <w:tab wTab="150" tlc="none" cTlc="0"/>
      </w:r>
      <w:r>
        <w:t xml:space="preserve">S.B.</w:t>
      </w:r>
      <w:r xml:space="preserve">
        <w:t> </w:t>
      </w:r>
      <w:r>
        <w:t xml:space="preserve">No.</w:t>
      </w:r>
      <w:r xml:space="preserve">
        <w:t> </w:t>
      </w:r>
      <w:r>
        <w:t xml:space="preserve">1273</w:t>
      </w:r>
    </w:p>
    <w:p w:rsidR="003F3435" w:rsidRDefault="0032493E">
      <w:pPr>
        <w:ind w:firstLine="720"/>
        <w:jc w:val="both"/>
      </w:pPr>
      <w:r>
        <w:t xml:space="preserve">(Wilson)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in this state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research security officer designated under Section 51.956;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research security officer designated by each private or independent institution of higher education, as defined by Section 61.003, that elects to participate in the council.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shall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shall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must be used to prevent the loss of intellectual capital.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meeting conducted under Subsection (h) must be in person or by video conference call, as determined by the presiding officer.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council shall prepare and submit to the governor, the attorney general's office, and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report submitted under Subsection (j) is confidential and is not subject to disclosure under Chapter 552, Government Code.</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an entity or country: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prohibited from participating in federal contracts under Section 889, John S. McCain National Defense Authorization Act for Fiscal Year 2019 (Pub. L. No. 115-232);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identified as a Chinese military company by the United States Department of Defense in accordance with Section 1260H, William M. (Mac) Thornberry National Defense Authorization Act for Fiscal Year 2021 (Pub. L. No. 116-283);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owned by the government of a country designated as a foreign adversary by the United States secretary of commerce under 15 C.F.R. Section 791.4;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by a governing or regulatory body located in a country described by Subdivision (3).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