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w:t>
      </w:r>
      <w:r>
        <w:rPr>
          <w:u w:val="single"/>
        </w:rPr>
        <w:t xml:space="preserve"> </w:t>
      </w:r>
      <w:r>
        <w:rPr>
          <w:u w:val="single"/>
        </w:rPr>
        <w:t xml:space="preserve">(a) </w:t>
      </w:r>
      <w:r>
        <w:rPr>
          <w:u w:val="single"/>
        </w:rPr>
        <w:t xml:space="preserve"> </w:t>
      </w:r>
      <w:r>
        <w:rPr>
          <w:u w:val="single"/>
        </w:rPr>
        <w:t xml:space="preserve">It is an affirmative defense to prosecution that the actor was a victim of an offense under Section 20A.02 or 43.05 who engaged in the conduct charged because the person who had committed the offense of which the actor was a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coerced the 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caused the actor to act under duress;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threatened the actor or a member of the actor's family or household with imminent death or serious bodily injury.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coercion, duress, or threat would not cause a reasonable person to engage in the conduct charged;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was merely provided an opportunity to engage in the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1278 passed the Senate on May</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1278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140,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