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89R12703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1278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victims of certain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COMPELLING PROSTITUTION, OR FAMILY VIOLENCE. </w:t>
      </w:r>
      <w:r>
        <w:rPr>
          <w:u w:val="single"/>
        </w:rPr>
        <w:t xml:space="preserve"> </w:t>
      </w:r>
      <w:r>
        <w:rPr>
          <w:u w:val="single"/>
        </w:rPr>
        <w:t xml:space="preserve">(a) </w:t>
      </w:r>
      <w:r>
        <w:rPr>
          <w:u w:val="single"/>
        </w:rPr>
        <w:t xml:space="preserve"> </w:t>
      </w:r>
      <w:r>
        <w:rPr>
          <w:u w:val="single"/>
        </w:rPr>
        <w:t xml:space="preserve">It is an affirmative defense to prosecution that the actor engaged in the conduct charged because the actor was coerced, acting under duress, or reasonably feared harm as a result of being the victim of an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Section 20A.02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punishable under Section 22.01(b)(2).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relevant to the identification of a defendant's status as a victim of an offense described by Subsection (a) may be offered to establish an affirmative defense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