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1302</w:t>
      </w:r>
    </w:p>
    <w:p w:rsidR="003F3435" w:rsidRDefault="0032493E">
      <w:pPr>
        <w:ind w:firstLine="720"/>
        <w:jc w:val="both"/>
      </w:pPr>
      <w:r>
        <w:t xml:space="preserve">(Bell of Montgomery)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eligibility to use a general permit to discharge waste into or adjacent to waters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26.040, Water Code, is amended by adding Subsections (h-1) and (h-2)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the commission denies or suspends a discharger's authority to discharge under a general permit under Subsection (h), the discharger may not discharge under the general permit until the executive director actively authorizes the discharger to use the general permit.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director may not use an automatic process to authorize the use of a general permit under Subsection (h-1).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26.040(h-1) and (h-2), Water Code, as added by this Act, apply only to a denial or suspension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