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1313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prohibited signs, logos, and designs in advertising or marketing cigarettes, e-cigarettes, or other tobacco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</w:t>
      </w:r>
      <w:r>
        <w:t xml:space="preserve"> </w:t>
      </w:r>
      <w:r>
        <w:t xml:space="preserve">PROHIBITION OF CERTAIN CIGARETTE</w:t>
      </w:r>
      <w:r>
        <w:rPr>
          <w:u w:val="single"/>
        </w:rPr>
        <w:t xml:space="preserve">,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K, Chapter 161, Health and Safety Code, is amended by adding Section 161.124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161.124.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IMAGES AND SIGNAGE; CRIMINAL OFFENSE. </w:t>
      </w:r>
      <w:r>
        <w:rPr>
          <w:u w:val="single"/>
        </w:rPr>
        <w:t xml:space="preserve"> </w:t>
      </w: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this section, "e-cigarette" and "retailer" have the meanings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retailer commits an offense if the retailer uses in any manner related to the retailer's marketing, advertising, or sale of cigarettes, e-cigarettes, or tobacco products a sign, logo, or other design mark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the trademarks or visual appearance of products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primarily used to market products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resembling a food product, such as candy or juice.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1313 passed the Senate on April</w:t>
      </w:r>
      <w:r xml:space="preserve">
        <w:t> </w:t>
      </w:r>
      <w:r>
        <w:t xml:space="preserve">10,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25, Nays</w:t>
      </w:r>
      <w:r xml:space="preserve">
        <w:t> </w:t>
      </w:r>
      <w:r>
        <w:t xml:space="preserve">5.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1313 passed the House on May</w:t>
      </w:r>
      <w:r xml:space="preserve">
        <w:t> </w:t>
      </w:r>
      <w:r>
        <w:t xml:space="preserve">28,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119, Nays</w:t>
      </w:r>
      <w:r xml:space="preserve">
        <w:t> </w:t>
      </w:r>
      <w:r>
        <w:t xml:space="preserve">22,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