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89R10182 MCF-F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Cook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1313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prohibited signs, logos, and designs in advertising or marketing cigarettes, e-cigarettes, or other tobacco products; creating a criminal offense.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The heading to Subchapter K, Chapter 161, Health and Safety Code, is amended to read as follows:</w:t>
      </w:r>
    </w:p>
    <w:p w:rsidR="003F3435" w:rsidRDefault="0032493E">
      <w:pPr>
        <w:spacing w:line="480" w:lineRule="auto"/>
        <w:jc w:val="center"/>
      </w:pPr>
      <w:r>
        <w:t xml:space="preserve">SUBCHAPTER K. PROHIBITION OF CERTAIN CIGARETTE</w:t>
      </w:r>
      <w:r>
        <w:rPr>
          <w:u w:val="single"/>
        </w:rPr>
        <w:t xml:space="preserve">,</w:t>
      </w:r>
    </w:p>
    <w:p w:rsidR="003F3435" w:rsidRDefault="0032493E">
      <w:pPr>
        <w:spacing w:line="480" w:lineRule="auto"/>
        <w:jc w:val="center"/>
      </w:pPr>
      <w:r>
        <w:rPr>
          <w:u w:val="single"/>
        </w:rPr>
        <w:t xml:space="preserve">E-CIGARETTE,</w:t>
      </w:r>
      <w:r>
        <w:t xml:space="preserve"> OR TOBACCO PRODUCT ADVERTISING; FEE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K, Chapter 161, Health and Safety Code, is amended by adding Section 161.124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161.124.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PROHIBITED IMAGES AND SIGNAGE; CRIMINAL OFFENSE. </w:t>
      </w:r>
      <w:r>
        <w:rPr>
          <w:u w:val="single"/>
        </w:rPr>
        <w:t xml:space="preserve"> </w:t>
      </w: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this section, "e-cigarette" and "retailer" have the meanings assigned by Section 161.081.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retailer commits an offense if the retailer: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uses in any manner related to the retailer's marketing, advertising, or sale of cigarettes, e-cigarettes, or tobacco products a sign, logo, or other design mark that: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depicts a cartoon-like fictional character primarily aimed at entertaining minors;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imitates or mimics the trademarks or visual appearance of products primarily marketed to minors;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includes a symbol primarily used to market products to minors;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includes an image of a celebrity; or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(E)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includes an image resembling a food product, such as candy or juice;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uses decorative components, including signs, graphics, animation, or dynamic lighting, in a manner that presents the exterior of the retailer's premises with a visual appearance of a nightclub or a game room as defined by Section 234.131, Local Government Code.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offense under this section is a Class B misdemeanor.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1313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