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89R1421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a firearm hold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128, Civil Practice and Remedies Code, is amended to read as follows:</w:t>
      </w:r>
    </w:p>
    <w:p w:rsidR="003F3435" w:rsidRDefault="0032493E">
      <w:pPr>
        <w:spacing w:line="480" w:lineRule="auto"/>
        <w:jc w:val="center"/>
      </w:pPr>
      <w:r>
        <w:t xml:space="preserve">SUBCHAPTER B.  CIVIL ACTIONS </w:t>
      </w:r>
      <w:r>
        <w:rPr>
          <w:u w:val="single"/>
        </w:rPr>
        <w:t xml:space="preserve">AGAINST SPORT SHOOTING RANGES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128, Civil Practice and Remedies Code, is amended by adding Subchapter C to read as follows:</w:t>
      </w:r>
    </w:p>
    <w:p w:rsidR="003F3435" w:rsidRDefault="0032493E">
      <w:pPr>
        <w:spacing w:line="480" w:lineRule="auto"/>
        <w:jc w:val="center"/>
      </w:pPr>
      <w:r>
        <w:rPr>
          <w:u w:val="single"/>
        </w:rPr>
        <w:t xml:space="preserve">SUBCHAPTER C.  LIABILITY ARISING FROM FIREARM HOLD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firearms licensee" means any person licensed under 18 U.S.C. Chapter 44.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hold agreement" means a private transaction between a federal firearms licensee and an individual firearm owner in which the licensee takes physical possession of the owner's lawfully possessed firearm at the owner's request, holds the firearm for an agreed period of time, and returns the firearm to the owner according to the terms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128.102.</w:t>
      </w:r>
      <w:r>
        <w:rPr>
          <w:u w:val="single"/>
        </w:rPr>
        <w:t xml:space="preserve"> </w:t>
      </w:r>
      <w:r>
        <w:rPr>
          <w:u w:val="single"/>
        </w:rPr>
        <w:t xml:space="preserve"> </w:t>
      </w:r>
      <w:r>
        <w:rPr>
          <w:u w:val="single"/>
        </w:rPr>
        <w:t xml:space="preserve">IMMUNITY FROM LIABILITY.  (a)  A person does not have a cause of action against a federal firearms licensee operating lawfully in this state for any act or omission arising from a firearm hold agreement that results in personal injury or death, including the return of a firearm to the owner by the licensee at the termination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from civil liability provided by Subsection (a) does not apply to a cause of action arising from the unlawful conduct or gross negligence of the licensee.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128,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