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Hancock, et al.</w:t>
      </w:r>
      <w:r xml:space="preserve">
        <w:tab wTab="150" tlc="none" cTlc="0"/>
      </w:r>
      <w:r>
        <w:t xml:space="preserve">S.B.</w:t>
      </w:r>
      <w:r xml:space="preserve">
        <w:t> </w:t>
      </w:r>
      <w:r>
        <w:t xml:space="preserve">No.</w:t>
      </w:r>
      <w:r xml:space="preserve">
        <w:t> </w:t>
      </w:r>
      <w:r>
        <w:t xml:space="preserve">1332</w:t>
      </w:r>
    </w:p>
    <w:p w:rsidR="003F3435" w:rsidRDefault="0032493E">
      <w:pPr>
        <w:ind w:firstLine="720"/>
        <w:jc w:val="both"/>
      </w:pPr>
      <w:r>
        <w:t xml:space="preserve">(Hull, et al.)</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 group health benefit plan policy or contract holder's obligation to pay premiums on behalf of an individual after the individual's eligibility for group coverage terminates.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843.210, Insurance Code, is amended by adding Subsection (e) to read as follows: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If the group contract holder notifies the health maintenance organization of the termination of an enrollee's eligibility for coverage later than the end of the month in which the enrollee's eligibility for the group coverage terminated, the health maintenance organization may waive the contract holder's liability for premiums on the enrollee for any subsequent months, provided that no covered services were provided to the enrollee after the end of the month in which the enrollee's eligibility terminated.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1301.0061, Insurance Code, is amended by adding Subsection (e) to read as follows: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If the group policyholder notifies the insurer of the termination of an individual's eligibility for coverage later than the end of the month in which the individual's eligibility for the group coverage terminated, the insurer may waive the policyholder's liability for premiums on the individual for any subsequent months, provided that no covered services were provided to the individual after the end of the month in which the individual's eligibility terminated.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1332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