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1362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18,</w:t>
      </w:r>
      <w:r xml:space="preserve">
        <w:t> </w:t>
      </w:r>
      <w:r>
        <w:t xml:space="preserve">2025; March</w:t>
      </w:r>
      <w:r xml:space="preserve">
        <w:t> </w:t>
      </w:r>
      <w:r>
        <w:t xml:space="preserve">6,</w:t>
      </w:r>
      <w:r xml:space="preserve">
        <w:t> </w:t>
      </w:r>
      <w:r>
        <w:t xml:space="preserve">2025, read first time and referred to Committee on State Affairs; March</w:t>
      </w:r>
      <w:r xml:space="preserve">
        <w:t> </w:t>
      </w:r>
      <w:r>
        <w:t xml:space="preserve">17,</w:t>
      </w:r>
      <w:r xml:space="preserve">
        <w:t> </w:t>
      </w:r>
      <w:r>
        <w:t xml:space="preserve">2025, reported favorably by the following vote:</w:t>
      </w:r>
      <w:r>
        <w:t xml:space="preserve"> </w:t>
      </w:r>
      <w:r>
        <w:t xml:space="preserve"> </w:t>
      </w:r>
      <w:r>
        <w:t xml:space="preserve">Yeas 10, Nays 0; March</w:t>
      </w:r>
      <w:r xml:space="preserve">
        <w:t> </w:t>
      </w:r>
      <w:r>
        <w:t xml:space="preserve">17,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the recognition, service, and enforcement of extreme risk protective orders;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"Anti-Red Flag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7C to read as follows:</w:t>
      </w:r>
    </w:p>
    <w:p w:rsidR="003F3435" w:rsidRDefault="0032493E">
      <w:pPr>
        <w:spacing w:line="480" w:lineRule="auto"/>
        <w:jc w:val="center"/>
      </w:pPr>
      <w:r>
        <w:rPr>
          <w:u w:val="single"/>
        </w:rPr>
        <w:t xml:space="preserve">CHAPTER 7C. </w:t>
      </w:r>
      <w:r>
        <w:rPr>
          <w:u w:val="single"/>
        </w:rPr>
        <w:t xml:space="preserve"> </w:t>
      </w:r>
      <w:r>
        <w:rPr>
          <w:u w:val="single"/>
        </w:rPr>
        <w:t xml:space="preserve">PROHIBITION ON RECOGNITION, SERVICE, AND ENFORCEMENT OF EXTREME RISK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primary purpose of reducing the risk of death or injury related to a firearm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prohibiting a person from owning, possessing, or receiving a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a person to surrender a firearm or otherwise removing a firearm from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issued on the basis of conduct that resulted in a criminal charge for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7C.002.</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This article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county, or special district or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7C.003.</w:t>
      </w:r>
      <w:r>
        <w:rPr>
          <w:u w:val="single"/>
        </w:rPr>
        <w:t xml:space="preserve"> </w:t>
      </w:r>
      <w:r>
        <w:rPr>
          <w:u w:val="single"/>
        </w:rPr>
        <w:t xml:space="preserve"> </w:t>
      </w:r>
      <w:r>
        <w:rPr>
          <w:u w:val="single"/>
        </w:rPr>
        <w:t xml:space="preserve">CERTAIN FEDERAL LAWS UNENFORCEABLE.  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7C.004.</w:t>
      </w:r>
      <w:r>
        <w:rPr>
          <w:u w:val="single"/>
        </w:rPr>
        <w:t xml:space="preserve"> </w:t>
      </w:r>
      <w:r>
        <w:rPr>
          <w:u w:val="single"/>
        </w:rPr>
        <w:t xml:space="preserve"> </w:t>
      </w:r>
      <w:r>
        <w:rPr>
          <w:u w:val="single"/>
        </w:rPr>
        <w:t xml:space="preserve">ACCEPTING CERTAIN FEDERAL GRANTS PROHIBITED.  An entity described by Article 7C.002(a)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7C.005.</w:t>
      </w:r>
      <w:r>
        <w:rPr>
          <w:u w:val="single"/>
        </w:rPr>
        <w:t xml:space="preserve"> </w:t>
      </w:r>
      <w:r>
        <w:rPr>
          <w:u w:val="single"/>
        </w:rPr>
        <w:t xml:space="preserve"> </w:t>
      </w:r>
      <w:r>
        <w:rPr>
          <w:u w:val="single"/>
        </w:rPr>
        <w:t xml:space="preserve">OFFENSE.  (a) </w:t>
      </w:r>
      <w:r>
        <w:rPr>
          <w:u w:val="single"/>
        </w:rPr>
        <w:t xml:space="preserve"> </w:t>
      </w:r>
      <w:r>
        <w:rPr>
          <w:u w:val="single"/>
        </w:rP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article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