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1372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the crime laboratory portal.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411.164, Government Code, is amended to read as follows:</w:t>
      </w:r>
    </w:p>
    <w:p w:rsidR="003F3435" w:rsidRDefault="0032493E">
      <w:pPr>
        <w:spacing w:line="480" w:lineRule="auto"/>
        <w:ind w:firstLine="720"/>
        <w:jc w:val="both"/>
      </w:pPr>
      <w:r>
        <w:t xml:space="preserve">Sec.</w:t>
      </w:r>
      <w:r xml:space="preserve">
        <w:t> </w:t>
      </w:r>
      <w:r>
        <w:t xml:space="preserve">411.164.</w:t>
      </w:r>
      <w:r xml:space="preserve">
        <w:t> </w:t>
      </w:r>
      <w:r xml:space="preserve">
        <w:t> </w:t>
      </w:r>
      <w:r>
        <w:t xml:space="preserve">DEFENSE COUNSEL ACCESS TO CRIME LABORATORY PORTAL.  In accordance with department rule, the attorney representing the state in a criminal action shall designate [</w:t>
      </w:r>
      <w:r>
        <w:rPr>
          <w:strike/>
        </w:rPr>
        <w:t xml:space="preserve">the defendant or</w:t>
      </w:r>
      <w:r>
        <w:t xml:space="preserve">] the defendant's attorney[</w:t>
      </w:r>
      <w:r>
        <w:rPr>
          <w:strike/>
        </w:rPr>
        <w:t xml:space="preserve">, as appropriate,</w:t>
      </w:r>
      <w:r>
        <w:t xml:space="preserve">] as an individual who is authorized to access and use the crime laboratory portal under Section 411.162 to request any crime laboratory records that are subject to discovery under Article 39.14,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criminal proceeding that commences on or after the effective date of this Act. </w:t>
      </w:r>
      <w:r>
        <w:t xml:space="preserve"> </w:t>
      </w:r>
      <w:r>
        <w:t xml:space="preserve">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