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89R24676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1415</w:t>
      </w:r>
    </w:p>
    <w:p w:rsidR="003F3435" w:rsidRDefault="0032493E">
      <w:pPr>
        <w:ind w:firstLine="720"/>
        <w:jc w:val="both"/>
      </w:pPr>
      <w:r>
        <w:t xml:space="preserve">(Hull, et al.)</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1415:</w:t>
      </w: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C.S.S.B.</w:t>
      </w:r>
      <w:r xml:space="preserve">
        <w:t> </w:t>
      </w:r>
      <w:r>
        <w:t xml:space="preserve">No.</w:t>
      </w:r>
      <w:r xml:space="preserve">
        <w:t> </w:t>
      </w:r>
      <w:r>
        <w:t xml:space="preserve">1415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sales tax exemption period for clothing, footwear, and certain school-related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151.326(a), Tax Code, is amended to read as follows:</w:t>
      </w:r>
    </w:p>
    <w:p w:rsidR="003F3435" w:rsidRDefault="0032493E">
      <w:pPr>
        <w:spacing w:line="480" w:lineRule="auto"/>
        <w:ind w:firstLine="720"/>
        <w:jc w:val="both"/>
      </w:pPr>
      <w:r>
        <w:t xml:space="preserve">(a)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w:t>
      </w:r>
      <w:r>
        <w:rPr>
          <w:u w:val="single"/>
        </w:rPr>
        <w:t xml:space="preserve">first</w:t>
      </w:r>
      <w:r>
        <w:t xml:space="preserve"> </w:t>
      </w:r>
      <w:r>
        <w:t xml:space="preserve">Friday </w:t>
      </w:r>
      <w:r>
        <w:rPr>
          <w:u w:val="single"/>
        </w:rPr>
        <w:t xml:space="preserve">in August</w:t>
      </w:r>
      <w:r>
        <w:t xml:space="preserve"> [</w:t>
      </w:r>
      <w:r>
        <w:rPr>
          <w:strike/>
        </w:rPr>
        <w:t xml:space="preserve">before the 15th day preceding the uniform date prescribed by Section 25.0811(a), Education Code, without regard to any exception authorized by that section, before which a school district may not begin instruction for the school year,</w:t>
      </w:r>
      <w:r>
        <w:t xml:space="preserve">] and ending at 12 midnight on the following Sunday.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