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1540</w:t>
      </w:r>
    </w:p>
    <w:p w:rsidR="003F3435" w:rsidRDefault="0032493E">
      <w:pPr>
        <w:ind w:firstLine="720"/>
        <w:jc w:val="both"/>
      </w:pPr>
      <w:r>
        <w:t xml:space="preserve">(Capriglione)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maintaining the confidentiality of the personal information of election officials and their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2A.001, Code of Criminal Procedure, or special investigators as described by Article 2A.002,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2A.002(a),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231,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election official, as defined by Section 1.005, Election Code, or employee, volunteer, or designee of an election official, or an employee of the secretary of state's office who performs duties relating to elections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