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89R2199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1559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85.064(a)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marriage or suit affecting the parent-child relationship or while the suit is pending as provided by Section 85.062, the court that rendered the order </w:t>
      </w:r>
      <w:r>
        <w:rPr>
          <w:u w:val="single"/>
        </w:rPr>
        <w:t xml:space="preserve">shall</w:t>
      </w:r>
      <w:r>
        <w:t xml:space="preserve"> [</w:t>
      </w:r>
      <w:r>
        <w:rPr>
          <w:strike/>
        </w:rPr>
        <w:t xml:space="preserve">may</w:t>
      </w:r>
      <w:r>
        <w:t xml:space="preserve">], on the motion of a party or on the court's own motion, transfer the protective order to the court having jurisdiction of the suit [</w:t>
      </w:r>
      <w:r>
        <w:rPr>
          <w:strike/>
        </w:rPr>
        <w:t xml:space="preserve">if the court 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rPr>
          <w:strike/>
        </w:rPr>
        <w:t xml:space="preserve">may</w:t>
      </w:r>
      <w:r>
        <w:t xml:space="preserve">] transfer the protective order to the court of continuing, exclusive jurisdiction [</w:t>
      </w:r>
      <w:r>
        <w:rPr>
          <w:strike/>
        </w:rPr>
        <w:t xml:space="preserve">if the court makes the finding prescribed by Subsection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85.064(c), Family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made,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