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connection of utilities by certain entities in certain subdivisions formerly located in a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212.012(c),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entity described by Subsection (b) may serve or connect land with water, sewer, electricity, gas, or other utility service regardless of whether the entity is presented with or otherwise holds a certificate applicable to the land issued under Section 212.0115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land is covered by a development plat approved under Subchapter B or under an ordinance or rule relating to the development plat;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(b)(1), (b)(2), or (b)(3) before September 1, 1987;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(b)(4), (b)(5), or (b)(6) before September 1, 1989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land was removed from a municipality's extraterritorial jurisdiction under Subchapter D or E, Chapter 42, and the entity holds a certificate of convenience and necessity to serve the land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1566 passed the Senate on April</w:t>
      </w:r>
      <w:r xml:space="preserve">
        <w:t> </w:t>
      </w:r>
      <w:r>
        <w:t xml:space="preserve">10,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Senate refused to concur in House amendments and requested appointment of Conference Committee; May</w:t>
      </w:r>
      <w:r xml:space="preserve">
        <w:t> </w:t>
      </w:r>
      <w:r>
        <w:t xml:space="preserve">29,</w:t>
      </w:r>
      <w:r xml:space="preserve">
        <w:t> </w:t>
      </w:r>
      <w:r>
        <w:t xml:space="preserve">2025, House granted request of the Senate; May 31, 2025, Senate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1566 passed the House, with amendments, on May 22, 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138, Nays</w:t>
      </w:r>
      <w:r xml:space="preserve">
        <w:t> </w:t>
      </w:r>
      <w:r>
        <w:t xml:space="preserve">1, three present not voting; May</w:t>
      </w:r>
      <w:r xml:space="preserve">
        <w:t> </w:t>
      </w:r>
      <w:r>
        <w:t xml:space="preserve">29,</w:t>
      </w:r>
      <w:r xml:space="preserve">
        <w:t> </w:t>
      </w:r>
      <w:r>
        <w:t xml:space="preserve">2025, House granted request of the Senate for appointment of Conference Committee; May</w:t>
      </w:r>
      <w:r xml:space="preserve">
        <w:t> </w:t>
      </w:r>
      <w:r>
        <w:t xml:space="preserve">31,</w:t>
      </w:r>
      <w:r xml:space="preserve">
        <w:t> </w:t>
      </w:r>
      <w:r>
        <w:t xml:space="preserve">2025, House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132, Nays</w:t>
      </w:r>
      <w:r xml:space="preserve">
        <w:t> </w:t>
      </w:r>
      <w:r>
        <w:t xml:space="preserve">0, three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