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1567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home-rule municipalities to regulate the occupancy of dwelling units.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211, Local Government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RESIDENTIAL ZONING LIMITATIONS RELATED TO OCCUPANCY IN CERTAIN MUNICIPALITIES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</w:t>
      </w:r>
      <w:r>
        <w:rPr>
          <w:u w:val="single"/>
        </w:rPr>
        <w:t xml:space="preserve"> </w:t>
      </w:r>
      <w:r>
        <w:rPr>
          <w:u w:val="single"/>
        </w:rPr>
        <w:t xml:space="preserve">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"Dwelling unit" means a house, apartment unit, or any unit in a multiunit residential structure. </w:t>
      </w:r>
      <w:r>
        <w:rPr>
          <w:u w:val="single"/>
        </w:rPr>
        <w:t xml:space="preserve"> </w:t>
      </w:r>
      <w:r>
        <w:rPr>
          <w:u w:val="single"/>
        </w:rPr>
        <w:t xml:space="preserve">The term does not include a unit in a hotel, motel, or other establishment in which more than half of the units are intended to be used for transient accommodations.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"University" means an institution of higher education, as defined by Section 61.003, Education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applies only to a home-rule municipality in which a university campus is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DWELLING UNIT OCCUPANCY REQUIREMENTS.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Subsection (b), a municipality may not adopt or enforce a zoning ordinance, rule, or other regulation that limits the number of people who may occupy a dwelling unit based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familial status;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occupation;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relationship status;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occupants are related to each other by a certain degree of affinity or consanguinity.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impose a limit on the number of occupants of a dwelling unit that is not more restrictive than: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occupant per sleeping room with a minimum floor area of 70 square feet;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additional occupant for each additional 50 square feet of floor area in the same sleeping room.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ZONING AUTHORITY.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prohibit a municipality from imposing a limit on the number of people who may occupy a dwelling unit based on health and safety standards contained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building code as adopted under Subchapter G, Chapter 214;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standards adopted by the Department of State Health Services;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local, state, or federal affordable housing program guidelines.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LEASE REVIEW PROHIBITED.  A municipality may not require a real estate broker, agent, or other third party fiduciary to submit for review or provide access to a lease or related document to determine the number of unrelated occupants of a dwelling unit for the purpose of enforcing a dwelling unit occupancy requirement.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PROPERTY OWNERS' ASSOCIATIONS AND OTHER PRIVATE AGREEMENTS.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prohibit a property owner from enforcing rules or deed restrictions imposed by a property owners' association or by other private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PROPERTY OWNER ACTION.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property owner in a municipality that violates this subchapter may bring an action against the municipality for damages incurred due to the violation and for appropriate equitable relief.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Governmental immunity of the municipality to suit and from liability is waived to the extent of liability created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may award a prevailing claimant reasonable attorney's fees incurred in bringing an action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