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89R4653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home-rule municipalities to regulate the occupancy of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ZONING LIMITATIONS RELATED TO OCCUPANCY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subchapter, "dwelling unit" means a house, apartment unit, or any unit in a multiunit residential structure. The term does not include a unit in a hotel, motel, or other establishment in which more than half of the units are intended to be used for transient accommodations.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home-rule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DWELLING UNIT OCCUPANCY REQUIREMENTS.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may not adopt or enforce a zoning ordinance, rule, or other regulation that limits the number of people who may occupy a dwelling unit based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familial status;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occupation;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relationship status;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occupants are related to each other by a certain degree of affinity or consanguinity.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municipality from imposing a limit on the number of people who may occupy a dwelling unit based on health and safety standards contained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code as adopted under Subchapter G, Chapter 214;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standards adopted by the Department of State Health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or federal affordable housing program guidelines.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PROPERTY OWNERS' 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OWNER ACTION.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property owner in a municipality that violates this subchapter may bring an action against the municipality for damages incurred due to the violation and for appropriate equitable relief.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the municipality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may award a prevailing claimant reasonable attorney's fees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