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24,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6,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25,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25,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1567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home-rule municipalities to regulate the occupancy of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ZONING LIMITATIONS RELATED TO OCCUPANCY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"Dwelling unit" means a house, apartment unit, or any unit in a multiunit residential structure.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unit in a hotel, motel, or other establishment in which more than half of the units are intended to be used for transient accommodations.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"University" means an institution of higher education, as defined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home-rule municipality in which a university campus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DWELLING UNIT OCCUPANCY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a municipality may not adopt or enforce a zoning ordinance, rule, or other regulation that limits the number of people who may occupy a dwelling unit based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familial status;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relationship status;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occupants are related to each other by a certain degree of affinity or consanguinity.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impose a limit on the number of occupants of a dwelling unit that is not more restrictive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occupant per sleeping room with a minimum floor area of 70 square feet;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additional occupant for each additional 50 square feet of floor area in the same sleeping room.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municipality from imposing a limit on the number of people who may occupy a dwelling unit based on health and safety standards contained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as adopted under Subchapter G, Chapter 214;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standards adopted by the Department of State Health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or federal affordable housing program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LEASE REVIEW PROHIBITED.  A municipality may not require a real estate broker, agent, or other third party fiduciary to submit for review or provide access to a lease or related document to determine the number of unrelated occupants of a dwelling unit for the purpose of enforcing a dwelling unit occupancy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PROPERTY OWNERS' 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OWNER ACTION.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property owner in a municipality that violates this subchapter may bring an action against the municipality for damages incurred due to the violation and for appropriate equitable relief.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the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may award a prevailing claimant reasonable attorney's fees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