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89R13481 GP-F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1571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disclosure under the public information law of certain contact information of a notary public that is maintained by the secretary of state.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552.11765, Government Code, is amended by amending Subsection (b) and adding Subsection (c-1) to read as follows:</w:t>
      </w:r>
    </w:p>
    <w:p w:rsidR="003F3435" w:rsidRDefault="0032493E">
      <w:pPr>
        <w:spacing w:line="480" w:lineRule="auto"/>
        <w:ind w:firstLine="720"/>
        <w:jc w:val="both"/>
      </w:pPr>
      <w:r>
        <w:t xml:space="preserve">(b)</w:t>
      </w:r>
      <w:r xml:space="preserve">
        <w:t> </w:t>
      </w:r>
      <w:r xml:space="preserve">
        <w:t> </w:t>
      </w:r>
      <w:r>
        <w:t xml:space="preserve">Except as provided by Subsections (c)</w:t>
      </w:r>
      <w:r>
        <w:rPr>
          <w:u w:val="single"/>
        </w:rPr>
        <w:t xml:space="preserve">, (c-1),</w:t>
      </w:r>
      <w:r>
        <w:t xml:space="preserve"> and (d), information maintained by a governmental body described by Section 552.003(1)(A)(i) is confidential and excepted from the requirements of Section 552.021 if the information:</w:t>
      </w:r>
    </w:p>
    <w:p w:rsidR="003F3435" w:rsidRDefault="0032493E">
      <w:pPr>
        <w:spacing w:line="480" w:lineRule="auto"/>
        <w:ind w:firstLine="1440"/>
        <w:jc w:val="both"/>
      </w:pPr>
      <w:r>
        <w:t xml:space="preserve">(1)</w:t>
      </w:r>
      <w:r xml:space="preserve">
        <w:t> </w:t>
      </w:r>
      <w:r xml:space="preserve">
        <w:t> </w:t>
      </w:r>
      <w:r>
        <w:t xml:space="preserve">is a license application; or</w:t>
      </w:r>
    </w:p>
    <w:p w:rsidR="003F3435" w:rsidRDefault="0032493E">
      <w:pPr>
        <w:spacing w:line="480" w:lineRule="auto"/>
        <w:ind w:firstLine="1440"/>
        <w:jc w:val="both"/>
      </w:pPr>
      <w:r>
        <w:t xml:space="preserve">(2)</w:t>
      </w:r>
      <w:r xml:space="preserve">
        <w:t> </w:t>
      </w:r>
      <w:r xml:space="preserve">
        <w:t> </w:t>
      </w:r>
      <w:r>
        <w:t xml:space="preserve">relates to the home address, home telephone number, electronic mail address, social security number, date of birth, driver's license number, state identification number, passport number, emergency contact information, or payment information of:</w:t>
      </w:r>
    </w:p>
    <w:p w:rsidR="003F3435" w:rsidRDefault="0032493E">
      <w:pPr>
        <w:spacing w:line="480" w:lineRule="auto"/>
        <w:ind w:firstLine="2160"/>
        <w:jc w:val="both"/>
      </w:pPr>
      <w:r>
        <w:t xml:space="preserve">(A)</w:t>
      </w:r>
      <w:r xml:space="preserve">
        <w:t> </w:t>
      </w:r>
      <w:r xml:space="preserve">
        <w:t> </w:t>
      </w:r>
      <w:r>
        <w:t xml:space="preserve">an applicant for a license issued by the governmental body;</w:t>
      </w:r>
    </w:p>
    <w:p w:rsidR="003F3435" w:rsidRDefault="0032493E">
      <w:pPr>
        <w:spacing w:line="480" w:lineRule="auto"/>
        <w:ind w:firstLine="2160"/>
        <w:jc w:val="both"/>
      </w:pPr>
      <w:r>
        <w:t xml:space="preserve">(B)</w:t>
      </w:r>
      <w:r xml:space="preserve">
        <w:t> </w:t>
      </w:r>
      <w:r xml:space="preserve">
        <w:t> </w:t>
      </w:r>
      <w:r>
        <w:t xml:space="preserve">an individual who holds a license issued by the governmental body; or</w:t>
      </w:r>
    </w:p>
    <w:p w:rsidR="003F3435" w:rsidRDefault="0032493E">
      <w:pPr>
        <w:spacing w:line="480" w:lineRule="auto"/>
        <w:ind w:firstLine="2160"/>
        <w:jc w:val="both"/>
      </w:pPr>
      <w:r>
        <w:t xml:space="preserve">(C)</w:t>
      </w:r>
      <w:r xml:space="preserve">
        <w:t> </w:t>
      </w:r>
      <w:r xml:space="preserve">
        <w:t> </w:t>
      </w:r>
      <w:r>
        <w:t xml:space="preserve">an individual who previously held a license issued by the governmental body.</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Subsection (b) does not prohibit  the secretary of state from disclosing the home address, home telephone number, or electronic mail address of a notary public appointed under Subchapter A, Chapter 406.</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1571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