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89R892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Hagenbuch</w:t>
      </w:r>
      <w:r xml:space="preserve">
        <w:tab wTab="150" tlc="none" cTlc="0"/>
      </w:r>
      <w:r>
        <w:t xml:space="preserve">S.B.</w:t>
      </w:r>
      <w:r xml:space="preserve">
        <w:t> </w:t>
      </w:r>
      <w:r>
        <w:t xml:space="preserve">No.</w:t>
      </w:r>
      <w:r xml:space="preserve">
        <w:t> </w:t>
      </w:r>
      <w:r>
        <w:t xml:space="preserve">1596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prohibition of short-barrel firearms.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46.05(a) and (d), Penal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intentionally or knowingly possesses, manufactures, transports, repairs, or sells:</w:t>
      </w:r>
    </w:p>
    <w:p w:rsidR="003F3435" w:rsidRDefault="0032493E">
      <w:pPr>
        <w:spacing w:line="480" w:lineRule="auto"/>
        <w:ind w:firstLine="1440"/>
        <w:jc w:val="both"/>
      </w:pPr>
      <w:r>
        <w:t xml:space="preserve">(1)</w:t>
      </w:r>
      <w:r xml:space="preserve">
        <w:t> </w:t>
      </w:r>
      <w:r xml:space="preserve">
        <w:t> </w:t>
      </w:r>
      <w:r>
        <w:t xml:space="preserve">any of the following items, unless the item is registered in the National Firearms Registration and Transfer Record maintained by the Bureau of Alcohol, Tobacco, Firearms and Explosives or otherwise not subject to that registration requirement or unless the item is classified as a curio or relic by the United States Department of Justice:</w:t>
      </w:r>
    </w:p>
    <w:p w:rsidR="003F3435" w:rsidRDefault="0032493E">
      <w:pPr>
        <w:spacing w:line="480" w:lineRule="auto"/>
        <w:ind w:firstLine="2160"/>
        <w:jc w:val="both"/>
      </w:pPr>
      <w:r>
        <w:t xml:space="preserve">(A)</w:t>
      </w:r>
      <w:r xml:space="preserve">
        <w:t> </w:t>
      </w:r>
      <w:r xml:space="preserve">
        <w:t> </w:t>
      </w:r>
      <w:r>
        <w:t xml:space="preserve">an explosive weapon; </w:t>
      </w:r>
      <w:r>
        <w:rPr>
          <w:u w:val="single"/>
        </w:rPr>
        <w:t xml:space="preserve">or</w:t>
      </w:r>
    </w:p>
    <w:p w:rsidR="003F3435" w:rsidRDefault="0032493E">
      <w:pPr>
        <w:spacing w:line="480" w:lineRule="auto"/>
        <w:ind w:firstLine="2160"/>
        <w:jc w:val="both"/>
      </w:pPr>
      <w:r>
        <w:t xml:space="preserve">(B)</w:t>
      </w:r>
      <w:r xml:space="preserve">
        <w:t> </w:t>
      </w:r>
      <w:r xml:space="preserve">
        <w:t> </w:t>
      </w:r>
      <w:r>
        <w:t xml:space="preserve">a machine gun; [</w:t>
      </w:r>
      <w:r>
        <w:rPr>
          <w:strike/>
        </w:rPr>
        <w:t xml:space="preserve">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a short-barrel firearm;</w:t>
      </w:r>
      <w:r>
        <w:t xml:space="preserve">]</w:t>
      </w:r>
    </w:p>
    <w:p w:rsidR="003F3435" w:rsidRDefault="0032493E">
      <w:pPr>
        <w:spacing w:line="480" w:lineRule="auto"/>
        <w:ind w:firstLine="1440"/>
        <w:jc w:val="both"/>
      </w:pPr>
      <w:r>
        <w:t xml:space="preserve">(2)</w:t>
      </w:r>
      <w:r xml:space="preserve">
        <w:t> </w:t>
      </w:r>
      <w:r xml:space="preserve">
        <w:t> </w:t>
      </w:r>
      <w:r>
        <w:t xml:space="preserve">armor-piercing ammunition;</w:t>
      </w:r>
    </w:p>
    <w:p w:rsidR="003F3435" w:rsidRDefault="0032493E">
      <w:pPr>
        <w:spacing w:line="480" w:lineRule="auto"/>
        <w:ind w:firstLine="1440"/>
        <w:jc w:val="both"/>
      </w:pPr>
      <w:r>
        <w:t xml:space="preserve">(3)</w:t>
      </w:r>
      <w:r xml:space="preserve">
        <w:t> </w:t>
      </w:r>
      <w:r xml:space="preserve">
        <w:t> </w:t>
      </w:r>
      <w:r>
        <w:t xml:space="preserve">a chemical dispensing device;</w:t>
      </w:r>
    </w:p>
    <w:p w:rsidR="003F3435" w:rsidRDefault="0032493E">
      <w:pPr>
        <w:spacing w:line="480" w:lineRule="auto"/>
        <w:ind w:firstLine="1440"/>
        <w:jc w:val="both"/>
      </w:pPr>
      <w:r>
        <w:t xml:space="preserve">(4)</w:t>
      </w:r>
      <w:r xml:space="preserve">
        <w:t> </w:t>
      </w:r>
      <w:r xml:space="preserve">
        <w:t> </w:t>
      </w:r>
      <w:r>
        <w:t xml:space="preserve">a zip gun;</w:t>
      </w:r>
    </w:p>
    <w:p w:rsidR="003F3435" w:rsidRDefault="0032493E">
      <w:pPr>
        <w:spacing w:line="480" w:lineRule="auto"/>
        <w:ind w:firstLine="1440"/>
        <w:jc w:val="both"/>
      </w:pPr>
      <w:r>
        <w:t xml:space="preserve">(5)</w:t>
      </w:r>
      <w:r xml:space="preserve">
        <w:t> </w:t>
      </w:r>
      <w:r xml:space="preserve">
        <w:t> </w:t>
      </w:r>
      <w:r>
        <w:t xml:space="preserve">a tire deflation device; or</w:t>
      </w:r>
    </w:p>
    <w:p w:rsidR="003F3435" w:rsidRDefault="0032493E">
      <w:pPr>
        <w:spacing w:line="480" w:lineRule="auto"/>
        <w:ind w:firstLine="1440"/>
        <w:jc w:val="both"/>
      </w:pPr>
      <w:r>
        <w:t xml:space="preserve">(6)</w:t>
      </w:r>
      <w:r xml:space="preserve">
        <w:t> </w:t>
      </w:r>
      <w:r xml:space="preserve">
        <w:t> </w:t>
      </w:r>
      <w:r>
        <w:t xml:space="preserve">an improvised explosive device.</w:t>
      </w:r>
    </w:p>
    <w:p w:rsidR="003F3435" w:rsidRDefault="0032493E">
      <w:pPr>
        <w:spacing w:line="480" w:lineRule="auto"/>
        <w:ind w:firstLine="720"/>
        <w:jc w:val="both"/>
      </w:pPr>
      <w:r>
        <w:t xml:space="preserve">(d)</w:t>
      </w:r>
      <w:r xml:space="preserve">
        <w:t> </w:t>
      </w:r>
      <w:r xml:space="preserve">
        <w:t> </w:t>
      </w:r>
      <w:r>
        <w:t xml:space="preserve">It is an affirmative defense to prosecution under this section that the actor's conduct:</w:t>
      </w:r>
    </w:p>
    <w:p w:rsidR="003F3435" w:rsidRDefault="0032493E">
      <w:pPr>
        <w:spacing w:line="480" w:lineRule="auto"/>
        <w:ind w:firstLine="1440"/>
        <w:jc w:val="both"/>
      </w:pPr>
      <w:r>
        <w:t xml:space="preserve">(1)</w:t>
      </w:r>
      <w:r xml:space="preserve">
        <w:t> </w:t>
      </w:r>
      <w:r xml:space="preserve">
        <w:t> </w:t>
      </w:r>
      <w:r>
        <w:t xml:space="preserve">was incidental to dealing with a [</w:t>
      </w:r>
      <w:r>
        <w:rPr>
          <w:strike/>
        </w:rPr>
        <w:t xml:space="preserve">short-barrel firearm or</w:t>
      </w:r>
      <w:r>
        <w:t xml:space="preserve">] tire deflation device solely as an antique or curio;</w:t>
      </w:r>
    </w:p>
    <w:p w:rsidR="003F3435" w:rsidRDefault="0032493E">
      <w:pPr>
        <w:spacing w:line="480" w:lineRule="auto"/>
        <w:ind w:firstLine="1440"/>
        <w:jc w:val="both"/>
      </w:pPr>
      <w:r>
        <w:t xml:space="preserve">(2)</w:t>
      </w:r>
      <w:r xml:space="preserve">
        <w:t> </w:t>
      </w:r>
      <w:r xml:space="preserve">
        <w:t> </w:t>
      </w:r>
      <w:r>
        <w:t xml:space="preserve">was incidental to dealing with armor-piercing ammunition solely for the purpose of making the ammunition available to an organization, agency, or institution listed in Subsection (b); or</w:t>
      </w:r>
    </w:p>
    <w:p w:rsidR="003F3435" w:rsidRDefault="0032493E">
      <w:pPr>
        <w:spacing w:line="480" w:lineRule="auto"/>
        <w:ind w:firstLine="1440"/>
        <w:jc w:val="both"/>
      </w:pPr>
      <w:r>
        <w:t xml:space="preserve">(3)</w:t>
      </w:r>
      <w:r xml:space="preserve">
        <w:t> </w:t>
      </w:r>
      <w:r xml:space="preserve">
        <w:t> </w:t>
      </w:r>
      <w:r>
        <w:t xml:space="preserve">was incidental to dealing with a tire deflation device solely for the purpose of making the device available to an organization, agency, or institution listed in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46.01(10), Penal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