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89R3287 MEW-D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Hagenbuch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1602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creating the criminal offense of trespass on or near school or day-care center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30, Penal Code, is amended by adding Section 30.055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30.055.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TRESPASS ON OR NEAR SCHOOL OR DAY-CARE CENTER PROPERTY.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"Day-care center" has the meaning assigned by Section 42.002, Human Resources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"Public property" includes a street, highway, alley, public park, or sidewalk.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"School" means a private or public elementary or secondary school.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"School or day-care center property" means: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 land and buildings owned or leased by a school or day-care center;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grounds or buildings on which an activity sponsored by the school or day-care center is being conducted.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enters or remains on: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school or day-care center property;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public property located within 250 feet of school or day-care center property;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either: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poses a substantial risk of harm to any person;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more than one occasion and pursuant to the same scheme or course of conduct, behaves in a manner that is inappropriate for a school or day-care center setting;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receives a request to depart by an administrator, educator, or security personnel officer employed by the school or day-care center and fails to depart.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Class A misdemeanor.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conduct constituting an offense under this section also constitutes an offense under another section of this code, the actor may be prosecuted under either section or both 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1602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