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89R27192 SCR-F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Johnson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1612</w:t>
      </w:r>
    </w:p>
    <w:p w:rsidR="003F3435" w:rsidRDefault="0032493E">
      <w:pPr>
        <w:ind w:firstLine="720"/>
        <w:jc w:val="both"/>
      </w:pPr>
      <w:r>
        <w:t xml:space="preserve">(Bell of Kaufman, Button, Hefner, Romero, Leach)</w:t>
      </w:r>
    </w:p>
    <w:p w:rsidR="003F3435" w:rsidRDefault="0032493E">
      <w:pPr>
        <w:spacing w:before="240" w:line="480" w:lineRule="auto"/>
        <w:jc w:val="both"/>
      </w:pPr>
      <w:r>
        <w:t xml:space="preserve">Substitute the following for</w:t>
      </w:r>
      <w:r xml:space="preserve">
        <w:t> </w:t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1612: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Button</w:t>
      </w:r>
      <w:r xml:space="preserve">
        <w:tab wTab="150" tlc="none" cTlc="0"/>
      </w:r>
      <w:r>
        <w:t xml:space="preserve">C.S.S.B.</w:t>
      </w:r>
      <w:r xml:space="preserve">
        <w:t> </w:t>
      </w:r>
      <w:r>
        <w:t xml:space="preserve">No.</w:t>
      </w:r>
      <w:r xml:space="preserve">
        <w:t> </w:t>
      </w:r>
      <w:r>
        <w:t xml:space="preserve">1612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construction contract trust funds.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162, Property Code, is amended by adding Section 162.011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162.011.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FUNDS RESERVED OR REQUIRED TO BE RESERVED.  (a) </w:t>
      </w:r>
      <w:r>
        <w:rPr>
          <w:u w:val="single"/>
        </w:rPr>
        <w:t xml:space="preserve"> </w:t>
      </w:r>
      <w:r>
        <w:rPr>
          <w:u w:val="single"/>
        </w:rPr>
        <w:t xml:space="preserve">Funds reserved or required to be reserved by a property owner under Section 53.101 are trust funds under this chapter only to the extent that: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beneficiaries have perfected a mechanic's or materialman's lien claim to those reserved funds under Subchapter E, Chapter 53;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property is subject to a senior lien in favor of a lender.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an owner finances the construction of improvements to real property through a loan from a lender independent of the owner that is secured wholly or partly by a lien on the property, funds reserved or required to be reserved under Section 53.101 are not trust funds under this chapter until the lender disburses those funds to the owner.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Notwithstanding Section 162.003(a), funds reserved or required to be reserved under Section 53.101 that an owner in good faith releases to a contractor or subcontractor before the end of the period described by Section 53.101 are not trust funds under this chapter.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162.003(a), Property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An artisan, laborer, mechanic, contractor, subcontractor, or materialman who labors or who furnishes labor or material for the construction or repair of an improvement on specific real property in this state is a beneficiary of any trust funds</w:t>
      </w:r>
      <w:r>
        <w:rPr>
          <w:u w:val="single"/>
        </w:rPr>
        <w:t xml:space="preserve">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 xml:space="preserve">
        <w:t> </w:t>
      </w:r>
      <w:r xml:space="preserve">
        <w:t> </w:t>
      </w:r>
      <w:r>
        <w:t xml:space="preserve">paid or received in connection with the improvement</w:t>
      </w:r>
      <w:r>
        <w:rPr>
          <w:u w:val="single"/>
        </w:rPr>
        <w:t xml:space="preserve">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reserved or required to be reserved under Section 53.101 in connection with the improvement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Section 162.031, Property Code, is amended by adding Subsection (a-1)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trustee's failure to reserve funds that were required to be reserved under Section 53.101 for the construction or repair of a new or existing single-family house, duplex, triplex, or quadruplex, to be used for residential purposes, including improvements appurtenant to the residence, is not misapplication of trust funds under this section.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Section 162.032, Property Code, is amended by adding Subsection (d)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trustee is not liable for any damages to a beneficiary for failure to reserve funds required to be reserved under Section 53.101 unless the trustee failed to reserve the funds with intent to defraud.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5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B, Chapter 162, Property Code, is amended by adding Section 162.034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162.034.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ATTORNEY'S FEES AND COSTS. </w:t>
      </w:r>
      <w:r>
        <w:rPr>
          <w:u w:val="single"/>
        </w:rPr>
        <w:t xml:space="preserve"> </w:t>
      </w:r>
      <w:r>
        <w:rPr>
          <w:u w:val="single"/>
        </w:rPr>
        <w:t xml:space="preserve">The court shall award costs and reasonable attorney's fees to a prevailing party in an action brought under this chapter.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6</w:t>
      </w:r>
      <w:r>
        <w:t xml:space="preserve">.</w:t>
      </w:r>
      <w:r xml:space="preserve">
        <w:t> </w:t>
      </w:r>
      <w:r xml:space="preserve">
        <w:t> </w:t>
      </w:r>
      <w:r>
        <w:t xml:space="preserve">(a) </w:t>
      </w:r>
      <w:r>
        <w:t xml:space="preserve"> </w:t>
      </w:r>
      <w:r>
        <w:t xml:space="preserve">Except as provided by Subsection (b) of this section, the changes in law made by this Act apply only to a construction contract that is entered into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Section 162.034, Property Code, as added by this Act, applies only to an action commenced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7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C.S.S.B.</w:t>
    </w:r>
    <w:r xml:space="preserve">
      <w:t> </w:t>
    </w:r>
    <w:r>
      <w:t xml:space="preserve">No.</w:t>
    </w:r>
    <w:r xml:space="preserve">
      <w:t> </w:t>
    </w:r>
    <w:r>
      <w:t xml:space="preserve">1612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