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retention and preservation of toxicological evidence of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38.50, Code of Criminal Procedure, is amended by adding Subsection (c-1) and amending Subsections (g) and (h)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crime laboratory to which this article applies that is in possession of toxicological evidence shall annually: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prosecutor's office in the county in which the alleged offense occurred that the laboratory is in possession of toxicological evidence for an alleged offense that occurred in that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prosecutor's office the date on which the laboratory received the evidence.</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w:t>
      </w:r>
      <w:r>
        <w:rPr>
          <w:u w:val="single"/>
        </w:rPr>
        <w:t xml:space="preserve">first-class</w:t>
      </w:r>
      <w:r>
        <w:t xml:space="preserve"> [</w:t>
      </w:r>
      <w:r>
        <w:rPr>
          <w:strike/>
        </w:rPr>
        <w:t xml:space="preserve">first class</w:t>
      </w:r>
      <w:r>
        <w:t xml:space="preserve">] mail to the person's last known e-mail or mailing address; or</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724.015,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w:t>
      </w:r>
      <w:r>
        <w:rPr>
          <w:u w:val="single"/>
        </w:rPr>
        <w:t xml:space="preserve">(3)</w:t>
      </w:r>
      <w:r>
        <w:t xml:space="preserve"> </w:t>
      </w:r>
      <w:r>
        <w:t xml:space="preserve">[</w:t>
      </w:r>
      <w:r>
        <w:rPr>
          <w:strike/>
        </w:rPr>
        <w:t xml:space="preserve">(c)(3)</w:t>
      </w:r>
      <w:r>
        <w:t xml:space="preserve">] for cases in which the prosecutor's office presented the indictment, information, or petition. </w:t>
      </w:r>
      <w:r>
        <w:t xml:space="preserve"> </w:t>
      </w:r>
      <w:r>
        <w:rPr>
          <w:u w:val="single"/>
        </w:rPr>
        <w:t xml:space="preserve">If a prosecutor's office does not provide a written denial of a request to destroy toxicological evidence before the 90th day after the date the request is made by hand delivery, certified mail, or e-mail to an address designated by the prosecutor's office, the entity or individual charged with storing the toxicological evidence may destroy the evidence if the retention period under Subsection (c)(2) or (3) for that evidence has expired.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38.50(h), Code of Criminal Procedure, as amended by this Act, applies only to evidence for which the appropriate retention and preservation period under Article 38.50, Code of Criminal Procedure, as amended by this Act, expires on or after the effective date of this Act. </w:t>
      </w:r>
      <w:r>
        <w:t xml:space="preserve"> </w:t>
      </w:r>
      <w:r>
        <w:t xml:space="preserve">Evidence for which the appropriate retention and preservation period expired before the effective date of this Act is governed by the law in effect on the date of expiration of that period,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1660 passed the Senate on May</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 29, 2025, Senate refused to concur in House amendments and requested appointment of Conference Committee; May</w:t>
      </w:r>
      <w:r xml:space="preserve">
        <w:t> </w:t>
      </w:r>
      <w:r>
        <w:t xml:space="preserve">30,</w:t>
      </w:r>
      <w:r xml:space="preserve">
        <w:t> </w:t>
      </w:r>
      <w:r>
        <w:t xml:space="preserve">2025, House granted request of the Senate; June</w:t>
      </w:r>
      <w:r xml:space="preserve">
        <w:t> </w:t>
      </w:r>
      <w:r>
        <w:t xml:space="preserve">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1660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113, Nays</w:t>
      </w:r>
      <w:r xml:space="preserve">
        <w:t> </w:t>
      </w:r>
      <w:r>
        <w:t xml:space="preserve">23, one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109, Nays</w:t>
      </w:r>
      <w:r xml:space="preserve">
        <w:t> </w:t>
      </w:r>
      <w:r>
        <w:t xml:space="preserve">25,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