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1664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 information regarding the rates of a transmission and distribution utility.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39, Utilities Code, is amended by adding Section 39.113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39.113.</w:t>
      </w:r>
      <w:r>
        <w:rPr>
          <w:u w:val="single"/>
        </w:rPr>
        <w:t xml:space="preserve"> </w:t>
      </w:r>
      <w:r>
        <w:rPr>
          <w:u w:val="single"/>
        </w:rPr>
        <w:t xml:space="preserve"> </w:t>
      </w:r>
      <w:r>
        <w:rPr>
          <w:u w:val="single"/>
        </w:rPr>
        <w:t xml:space="preserve">RATE TRANSPARENCY.  (a) </w:t>
      </w:r>
      <w:r>
        <w:rPr>
          <w:u w:val="single"/>
        </w:rPr>
        <w:t xml:space="preserve"> </w:t>
      </w:r>
      <w:r>
        <w:rPr>
          <w:u w:val="single"/>
        </w:rPr>
        <w:t xml:space="preserve">A transmission and distribution utility shall provide with each statement of intent to change rates filed under Chapter 36, and any other filing made with a regulatory authority under this subtitle regarding a change in the utility's rates, a stand-alone document that shows: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change in rate that the filing would apply to each rate class;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period during which the proposed change will be in effect;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base rate increase, the anticipated total amount of revenue the utility will receive from the increase during the four-year period following the proposed implementation date of the change;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a change other than a base rate change, the anticipated total amount of revenue the utility will receive from the change during the period in which the change is in effect;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delivery charges being imposed by the utility at the time of the filing for an average residential customer;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anticipated delivery charges that would be imposed by the utility for an average residential customer after the change;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difference between the amounts shown under Subdivisions (5) and (6).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require the document required by Subsection (a) to be filed in a format easily understood by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regulatory authority proposes to enter an order approving a change in rates described by Subsection (a) that differs from the change initially proposed by the transmission and distribution utility, the regulatory authority shall require the utility to provide to the regulatory authority a new stand-alone document that includes the information required by Subsection (a) for the proposed change.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provide, and update at least monthly, on the commission's Internet website or the commission's Power to Choose Internet website information on the rates of transmission and distribution utilities in a format easily understood by the public.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proceeding before the Public Utility Commission of Texas or other regulatory authority described by Section 11.003, Utilities Code, that commences on or after the effective date of this Act. </w:t>
      </w:r>
      <w:r>
        <w:t xml:space="preserve"> </w:t>
      </w:r>
      <w:r>
        <w:t xml:space="preserve">A proceeding before the Public Utility Commission of Texas or other regulatory authority described by Section 11.003, Utilities Code, that commenced before the effective date of this Act is governed by the law in effect on the date the proceeding commenced,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