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1706</w:t>
      </w:r>
    </w:p>
    <w:p w:rsidR="003F3435" w:rsidRDefault="0032493E">
      <w:pPr>
        <w:ind w:firstLine="720"/>
        <w:jc w:val="both"/>
      </w:pPr>
      <w:r>
        <w:t xml:space="preserve">(Ordaz, Bonnen, Paul, Lopez of Cameron, Capriglione,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governing board of a state governmental body to conduct a closed meeting to deliberate an issue involving certain defense, military, or aerospace issues.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551, Government Code, is amended by adding Section 551.092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551.092.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 GOVERNMENTAL BODIES: DEFENSE, MILITARY, AND AEROSPACE ISSUES; CLOSED MEETING.  (a)  In this section, "defense, military, or aerospace issue" means a matter related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establishment of an office, base, or major facility in this state by the United States Department of Defense or the National Aeronautics and Space Administration;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economic incentive a governmental body may offer to a private entity or nonprofit organization to meet a match requirement or other requirement established by the United States Department of Defense or the National Aeronautics and Space Administration in relation to grants or strategic endeavors.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board of a governmental body described by Section 551.001(3)(A) may conduct a closed meeting to deliberate a defense, military, or aerospace issue.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