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Gutierrez</w:t>
      </w:r>
      <w:r xml:space="preserve">
        <w:tab wTab="150" tlc="none" cTlc="0"/>
      </w:r>
      <w:r>
        <w:t xml:space="preserve">S.B.</w:t>
      </w:r>
      <w:r xml:space="preserve">
        <w:t> </w:t>
      </w:r>
      <w:r>
        <w:t xml:space="preserve">No.</w:t>
      </w:r>
      <w:r xml:space="preserve">
        <w:t> </w:t>
      </w:r>
      <w:r>
        <w:t xml:space="preserve">1711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3D-printed firearms; creating an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46.132, Penal Code, is amended by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46.132.</w:t>
      </w:r>
      <w:r>
        <w:rPr>
          <w:u w:val="single"/>
        </w:rPr>
        <w:t xml:space="preserve"> </w:t>
      </w:r>
      <w:r>
        <w:rPr>
          <w:u w:val="single"/>
        </w:rPr>
        <w:t xml:space="preserve"> </w:t>
      </w:r>
      <w:r>
        <w:rPr>
          <w:u w:val="single"/>
        </w:rPr>
        <w:t xml:space="preserve">PROHIBITION ON 3D-PRINTED FIREARMS.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"3D-printed firearm" means a firearm, or any major component of a firearm, that is produced by a three-dimensional printing process, regardless of the material used.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"Digital firearm schematic" means any computer-aided design (CAD) file or other digital instruction designed for the production of a firearm or major firearm component using additive manufacturing or 3D-printing technology.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manufacture, sell, transfer, or possess a 3D-printed firearm in the State of Texas.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not distribute, publish, or otherwise make available any digital firearm schematic to another person in Texas with the intent of facilitating the production of a firearm using a 3D printer or similar technology.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 or federal law enforcement agency or an employee thereof acting within the scope of their official duties.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licensed firearms manufacturer producing firearms using additive manufacturing techniques in compliance with federal and state laws.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Research institutions conducting studies on 3D-printing technology under approval from the Texas Department of Public Safety.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who violates subsection (b) commits a felony of the third degree. A person who violates subsection (c) commits a Class A misdemeanor.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46.132, Penal Code, as amended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