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1786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28.0095(a), Education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district" includes the Windham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any available and relevant data for making the determination required under Subsection (e)(1).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C, Chapter 61, Education Code, is amended by adding Sections 61.09023 and 61.09096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61.09023.</w:t>
      </w:r>
      <w:r>
        <w:rPr>
          <w:u w:val="single"/>
        </w:rPr>
        <w:t xml:space="preserve"> </w:t>
      </w:r>
      <w:r>
        <w:rPr>
          <w:u w:val="single"/>
        </w:rPr>
        <w:t xml:space="preserve"> </w:t>
      </w:r>
      <w:r>
        <w:rPr>
          <w:u w:val="single"/>
        </w:rPr>
        <w:t xml:space="preserve">REPORTING ON POSTSECONDARY OUTCOMES.  (a)  The board, in conjunction with the Texas Education Agency, shall post on the board's Internet website the following de-identified data, disaggregated by institution of higher education, school district, and matriculating cohort: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who graduate from a degree, certificate, or other credential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status of graduates from each program, including, if known, the number of those graduates who enrolled in additional postsecondary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counties of employment and residence, industries of employment, occupations, and wages of graduates from each program;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applications for the program using the common admission application form adopted under Section 51.762 or a form adopted by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who have not graduated from a degree, certificate, or other credential program and are no longer enrolled in that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 in which the student was most recently enrolled;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credits remaining before the student would complete the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student's employment status, including, if known, whether the student is enrolled in another degree, certificate, or other credential program at an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counties and industries of employment, occupations, and wages of those students;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applications for the program using the common admission application form adopted under Section 51.762 or a form adopted by the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ensure the data posted under Subsection (a) complies with the Family Educational Rights and Privacy Act of 1974 (20 U.S.C. Section 1232g).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61.09096.</w:t>
      </w:r>
      <w:r>
        <w:rPr>
          <w:u w:val="single"/>
        </w:rPr>
        <w:t xml:space="preserve"> </w:t>
      </w:r>
      <w:r>
        <w:rPr>
          <w:u w:val="single"/>
        </w:rPr>
        <w:t xml:space="preserve"> </w:t>
      </w:r>
      <w:r>
        <w:rPr>
          <w:u w:val="single"/>
        </w:rPr>
        <w:t xml:space="preserve">BIENNIAL REGIONAL LABOR DEMAND ASSESSMENT.  (a) </w:t>
      </w:r>
      <w:r>
        <w:rPr>
          <w:u w:val="single"/>
        </w:rPr>
        <w:t xml:space="preserve"> </w:t>
      </w:r>
      <w:r>
        <w:rPr>
          <w:u w:val="single"/>
        </w:rPr>
        <w:t xml:space="preserve">The board, in consultation with the Texas Workforce Commission, shall conduct a biennial assessment of regional labor demands across the state to allow institutions of higher education and school districts to better align educational programs with workforce needs. </w:t>
      </w:r>
      <w:r>
        <w:rPr>
          <w:u w:val="single"/>
        </w:rPr>
        <w:t xml:space="preserve"> </w:t>
      </w:r>
      <w:r>
        <w:rPr>
          <w:u w:val="single"/>
        </w:rPr>
        <w:t xml:space="preserve">In conducting the assessment,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the state over a 10-year period, disaggregated by wage, industry, occupational field, full-time and part-time status, county of primary employment, county of residence, and remote work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the industries and occupations that lead to a self-sufficient wage, as determined under Section 2308A.012, Government Code, based on local labor market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list of degrees, certificates, or other credentials included in the library of credentials established under Section 2308A.007, Government Code, that lead to jobs in the industries or occupations identified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information on outcomes relating to each degree, certificate, or other credential listed under Subdivision (3),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median wage earned by students who graduated with the degree, certificate, or other credential in 1 year, 5 years, and 10 years after completion of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job placement rates in six months of completion of the degree, certificate, or other credential.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board in conducting the assessment under this section, the board, in coordination with other state agencies, including the Texas Workforce Commission, the Texas Education Agency, and other relevant entities,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labor market information, employment data, and workforce projections;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educational and training programs, credentialing pathways, and career preparation efforts are informed by comprehensive and accurate labor market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the labor market information and workforce projections obtained from the assessment conducted under this section, disaggregated by education service center region, to institutions of higher education, school districts, and open-enrollment charter schools to support program development aligned with regional workforce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board shall report the results of the assessment conducted under this section to the governor, the lieutenant governor, the speaker of the house of representatives, and the standing legislative committees with primary jurisdiction over higher education.  Regional data included in the report must be disaggregated by education service center region.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Subchapter A, Chapter 130A, Education Code, is amended by adding Section 130A.0061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130A.0061.</w:t>
      </w:r>
      <w:r>
        <w:rPr>
          <w:u w:val="single"/>
        </w:rPr>
        <w:t xml:space="preserve"> </w:t>
      </w:r>
      <w:r>
        <w:rPr>
          <w:u w:val="single"/>
        </w:rPr>
        <w:t xml:space="preserve"> </w:t>
      </w:r>
      <w:r>
        <w:rPr>
          <w:u w:val="single"/>
        </w:rPr>
        <w:t xml:space="preserve">REPORTING ON OUT-OF-STATE STUDENT TRANSFERS. </w:t>
      </w:r>
      <w:r>
        <w:rPr>
          <w:u w:val="single"/>
        </w:rPr>
        <w:t xml:space="preserve"> </w:t>
      </w:r>
      <w:r>
        <w:rPr>
          <w:u w:val="single"/>
        </w:rPr>
        <w:t xml:space="preserve">(a) </w:t>
      </w:r>
      <w:r>
        <w:rPr>
          <w:u w:val="single"/>
        </w:rPr>
        <w:t xml:space="preserve"> </w:t>
      </w:r>
      <w:r>
        <w:rPr>
          <w:u w:val="single"/>
        </w:rPr>
        <w:t xml:space="preserve">In submitting required data under Section 130A.006 for an academic year, each junior college district shall include data regarding students who transfer to an out-of-state college or university during that academic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even-numbered year, the coordinating board shall submit to the legislature a report on out-of-state transfers from junior college districts using data collected under Subsection (a). </w:t>
      </w:r>
      <w:r>
        <w:rPr>
          <w:u w:val="single"/>
        </w:rPr>
        <w:t xml:space="preserve"> </w:t>
      </w:r>
      <w:r>
        <w:rPr>
          <w:u w:val="single"/>
        </w:rPr>
        <w:t xml:space="preserve">The report required under this subsection may be included in any other report made by the coordinating board.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130A, Education Code, is amended by adding Section 130A.102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130A.102.</w:t>
      </w:r>
      <w:r>
        <w:rPr>
          <w:u w:val="single"/>
        </w:rPr>
        <w:t xml:space="preserve"> </w:t>
      </w:r>
      <w:r>
        <w:rPr>
          <w:u w:val="single"/>
        </w:rPr>
        <w:t xml:space="preserve"> </w:t>
      </w:r>
      <w:r>
        <w:rPr>
          <w:u w:val="single"/>
        </w:rPr>
        <w:t xml:space="preserve">CREDENTIALS OF VALUE.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For purposes of Section 130A.101(c)(1), the coordinating board shall designate a credential as a credential of value if the credential: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positive return on investment for a student who received the credential, as measured by earning or being expected to earn cumulative wages at least equal to the cumulative median earnings for high school graduates in this state and earning at least the individual self-sufficient wage, as defined by coordinating board rule, during the period specified by coordinating board rule but not more than 10 years after the date on which the credential is received;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who received the credential to recoup the net cost of attendance at a public junior college, including opportunity cost,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 cost of attendance is the net cost of attendance used for purposes of financial aid at the college less any aid received by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opportunity cost is the difference between cumulative median earnings for high school graduates in this state and cumulative median earnings for students while enrolled in the certificate or degree program leading to the credential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of two years for an associate degree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period of four years for a baccalaureate degree program;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period determined by coordinating board rule based on the program's design for a certificate or degree program not described by Subparagraph (i) or (ii).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calculate the return on investment for a credential under Subsection (a)(1) using the most current data available to the coordinating board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integrated postsecondary education data system maintained by the National Center for Education Statistics;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records obtained from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American Community Survey by the United States Census Bureau;</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coordinating board's data reporting systems;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data sources selected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definition of individual self-sufficient wage for purposes of Subsection (a)(1), the coordinating board shall ensure the definition is correlated with the statewide median of the self-sufficient wage determined under Section 2308A.012,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designate a credential in education or health care as a credential of value regardless of whether the credential meets the criteria under Subsection (a) if the coordinating board determines the designation is necessary to ensure the workforce needs of this state are met in those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as necessary to implement this section in alignment with the long-range master plan for higher education in this state developed under Section 61.051(a-1).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2308A, Government Code, is amended by adding Section 2308A.0115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2308A.0115.</w:t>
      </w:r>
      <w:r>
        <w:rPr>
          <w:u w:val="single"/>
        </w:rPr>
        <w:t xml:space="preserve"> </w:t>
      </w:r>
      <w:r>
        <w:rPr>
          <w:u w:val="single"/>
        </w:rPr>
        <w:t xml:space="preserve"> </w:t>
      </w:r>
      <w:r>
        <w:rPr>
          <w:u w:val="single"/>
        </w:rP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Jobs and Education for Texans (JET) Grant Program under Chapter 134,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program established under the Pathways in Technology Early College High School (P-TECH) program under Section 29.556,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Reskilling and Upskilling through Education (TRUE) Program established under Subchapter T-2, Chapter 61,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coordinating grant programs under Subsection (a), the agency, coordinating board, and commission shall jointly: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career and technical education program startup and delivery costs by aligning two or more grant funding streams;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work to reduce duplication in grant programs across the agency, coordinating board, and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structure grant funding for career and technical education projects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aligned with the attainment of credentials of value, as designated by the coordinating board for purposes of Section 130A.101(c)(1), Education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meet state workforce needs in high-demand fields;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302, Labor Code, is amended by adding Section 302.0205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302.0205.</w:t>
      </w:r>
      <w:r>
        <w:rPr>
          <w:u w:val="single"/>
        </w:rPr>
        <w:t xml:space="preserve"> </w:t>
      </w:r>
      <w:r>
        <w:rPr>
          <w:u w:val="single"/>
        </w:rPr>
        <w:t xml:space="preserve"> </w:t>
      </w:r>
      <w:r>
        <w:rPr>
          <w:u w:val="single"/>
        </w:rPr>
        <w:t xml:space="preserve">REGIONAL LABOR DEMAND ASSESSMENT.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of this state the industries and occupations that lead to an individual self-sufficient wage, as defined by Texas Higher Education Coordinating Board rule in accordance with Section 130A.102,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expedited access at no cost to the commission to data available through a center for education research established under Section 1.005, Education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 state agency or institution of higher education to conduct or assist in conducting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March 1 of each odd-numbered year, the commission shall provide the results of the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standing legislative committees with primary jurisdiction over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institutions of higher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schools.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December 1, 2026, the Texas Higher Education Coordinating Board shall evaluate the data available under Section 204.0025, Labor Code, as amended by this Act, to identify the effects of transitioning to a county-by-county definition of individual self-sufficient wage for purposes of Section 130A.102, Education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Section 130A.102, Education Code, as added by this Act, applies to associate degrees awarded by a public junior college beginning with the 2025-2026 academic year. </w:t>
      </w:r>
      <w:r>
        <w:t xml:space="preserve"> </w:t>
      </w:r>
      <w:r>
        <w:t xml:space="preserve">That section applies to other degrees and certificates awarded by a public junior college beginning with the 2027-2028 academic year.</w:t>
      </w:r>
    </w:p>
    <w:p w:rsidR="003F3435" w:rsidRDefault="0032493E">
      <w:pPr>
        <w:spacing w:line="480" w:lineRule="auto"/>
        <w:ind w:firstLine="720"/>
        <w:jc w:val="both"/>
      </w:pPr>
      <w:r>
        <w:t xml:space="preserve">(b)</w:t>
      </w:r>
      <w:r xml:space="preserve">
        <w:t> </w:t>
      </w:r>
      <w:r xml:space="preserve">
        <w:t> </w:t>
      </w:r>
      <w:r>
        <w:t xml:space="preserve">Not later than August 1, 2027, the Texas Higher Education Coordinating Board, in consultation with the standing advisory committee established under Section 130.001, Education Code, shall adopt rules implementing Section 130A.102, Education Code, as added by this Act, for each certificate program offered by a public junior college.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and Section 130A.102, Education Code, as added by this Act,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