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2025; March</w:t>
      </w:r>
      <w:r xml:space="preserve">
        <w:t> </w:t>
      </w:r>
      <w:r>
        <w:t xml:space="preserve">13,</w:t>
      </w:r>
      <w:r xml:space="preserve">
        <w:t> </w:t>
      </w:r>
      <w:r>
        <w:t xml:space="preserve">2025, read first time and referred to Committee on Business &amp; Commerce;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1789</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electric service quality and reliability.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36.402, Utilities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an electric utility fails to comply with the standards required by Section 38.006 and the utility's system is damaged by a weather-related event or natural disaster, the commission may at the utility's next rate proceeding reduce the utility's return on equity for infrastructure used or installed to repair or replace the damaged portion of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w:t>
      </w:r>
      <w:r>
        <w:rPr>
          <w:u w:val="single"/>
        </w:rPr>
        <w:t xml:space="preserve">200</w:t>
      </w:r>
      <w:r>
        <w:t xml:space="preserve"> [</w:t>
      </w:r>
      <w:r>
        <w:rPr>
          <w:strike/>
        </w:rPr>
        <w:t xml:space="preserve">300</w:t>
      </w:r>
      <w:r>
        <w:t xml:space="preserve">] percent greater than the system average of all feeders during any two-year period[</w:t>
      </w:r>
      <w:r>
        <w:rPr>
          <w:strike/>
        </w:rPr>
        <w:t xml:space="preserve">, beginning in the year 2000</w:t>
      </w:r>
      <w:r>
        <w:t xml:space="preserve">]. </w:t>
      </w:r>
      <w:r>
        <w:t xml:space="preserve"> </w:t>
      </w:r>
      <w:r>
        <w:t xml:space="preserve">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rPr>
          <w:u w:val="single"/>
        </w:rPr>
        <w:t xml:space="preserve">the duration of each interruption in the feeder's service;</w:t>
      </w:r>
    </w:p>
    <w:p w:rsidR="003F3435" w:rsidRDefault="0032493E">
      <w:pPr>
        <w:spacing w:line="480" w:lineRule="auto"/>
        <w:ind w:firstLine="1440"/>
        <w:jc w:val="both"/>
      </w:pPr>
      <w:r>
        <w:rPr>
          <w:u w:val="single"/>
        </w:rPr>
        <w:t xml:space="preserve">(4)</w:t>
      </w:r>
      <w:r xml:space="preserve">
        <w:t> </w:t>
      </w:r>
      <w:r xml:space="preserve">
        <w:t> </w:t>
      </w:r>
      <w:r>
        <w:t xml:space="preserve">any action taken by a utility to address the feeder's performance;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38, Utilities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STRUCTURAL INTEGRITY STANDARDS FOR TRANSMISSION AND DISTRIBUTION POLES.  (a)  This section applies only to an electric utility, municipally owned utility, or electric cooperative that operates transmission or distribution assets.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standards for the structural integrity of transmission and distribution poles.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electric utility, municipally owned utility, or electric cooperative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inspect, maintain, remediate, and replace transmission and distribution poles as necessary on a timeline established by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records of the actions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geographic and weather characteristics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national guidelines such as the National Electrical Safety Code and guidelines developed by the Rural Utilities Service of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classification system to assess the serviceability of transmission and distribution poles that accounts for pole maintenance and extending the service life of transmission and distribution poles;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consider the characteristics of electric utility, municipally owned utility, and electric cooperative transmission and distribution systems throughout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May 1 of each year, each electric utility, municipally owned utility, and electric cooperative shall submit to the commission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of the utility's or cooperative's transmission and distribution pole maintenance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utility's or cooperative's inspection of transmission and distribution poles, including the number of poles inspected and any remediation or replacement action taken;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vegetation management[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inspecting distribution poles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Section 38.005, Utilities Code, apply only to an enforcement action initiated by the Public Utility Commission of Texas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In adopting rules under Section 38.006, Utilities Code, as added by this Act, the Public Utility Commission of Texas shall allow an electric utility, electric cooperative, or municipally owned utility to complete any required inspection, remediation, or replacement of transmission and distribution poles installed before the effective date of the rules according to a reasonable timeline approved by the commission that allows the utility or cooperative to prioritize high-risk transmission and distribution poles.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