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filed by a governmental entity [</w:t>
      </w:r>
      <w:r>
        <w:rPr>
          <w:strike/>
        </w:rPr>
        <w:t xml:space="preserve">under Subtitle E</w:t>
      </w:r>
      <w:r>
        <w:t xml:space="preserv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 </w:t>
      </w:r>
      <w:r>
        <w:rPr>
          <w:u w:val="single"/>
        </w:rPr>
        <w:t xml:space="preserve">or Subtitle E</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who is not an employee of an office of child representation, office of parent representation, or other entity that uses public money to provide legal representation to children or parents in a suit filed by a governmental entity</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w:t>
      </w:r>
      <w:r>
        <w:rPr>
          <w:u w:val="single"/>
        </w:rPr>
        <w:t xml:space="preserve"> </w:t>
      </w:r>
      <w:r>
        <w:rPr>
          <w:u w:val="single"/>
        </w:rPr>
        <w:t xml:space="preserve">Each court in a county hearing suits filed by a governmental entity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January 1, 2026, the courts in each county hearing suits filed by a governmental entity in which appointment of an attorney ad litem is required under Chapter 107 or Subtitle E,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